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6562FF">
        <w:rPr>
          <w:rFonts w:ascii="Palatino Linotype" w:hAnsi="Palatino Linotype" w:cs="Arial"/>
          <w:b/>
          <w:bCs/>
          <w:sz w:val="23"/>
          <w:szCs w:val="23"/>
        </w:rPr>
        <w:t>2</w:t>
      </w:r>
      <w:r w:rsidR="00B87805">
        <w:rPr>
          <w:rFonts w:ascii="Palatino Linotype" w:hAnsi="Palatino Linotype" w:cs="Arial"/>
          <w:b/>
          <w:bCs/>
          <w:sz w:val="23"/>
          <w:szCs w:val="23"/>
        </w:rPr>
        <w:t>229</w:t>
      </w:r>
      <w:r w:rsidR="0032240B">
        <w:rPr>
          <w:rFonts w:ascii="Palatino Linotype" w:hAnsi="Palatino Linotype" w:cs="Arial"/>
          <w:b/>
          <w:bCs/>
          <w:sz w:val="23"/>
          <w:szCs w:val="23"/>
        </w:rPr>
        <w:t>/INFOEM/IP/RR/2018.</w:t>
      </w:r>
      <w:r w:rsidR="00EF3EA6" w:rsidRPr="006D3D71">
        <w:rPr>
          <w:rFonts w:ascii="Palatino Linotype" w:hAnsi="Palatino Linotype" w:cs="Arial"/>
          <w:b/>
          <w:bCs/>
          <w:sz w:val="23"/>
          <w:szCs w:val="23"/>
        </w:rPr>
        <w:t xml:space="preserve"> </w:t>
      </w:r>
    </w:p>
    <w:p w:rsidR="0032240B" w:rsidRDefault="0032240B"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información requerida, a efecto 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Cs/>
        </w:rPr>
      </w:sdtEndPr>
      <w:sdtContent>
        <w:p w:rsidR="00F41FAB" w:rsidRPr="00F41FAB" w:rsidRDefault="00E6179D">
          <w:pPr>
            <w:pStyle w:val="TDC1"/>
            <w:rPr>
              <w:rFonts w:eastAsiaTheme="minorEastAsia"/>
              <w:b w:val="0"/>
              <w:sz w:val="24"/>
              <w:szCs w:val="24"/>
              <w:lang w:eastAsia="es-MX"/>
            </w:rPr>
          </w:pPr>
          <w:r w:rsidRPr="00F41FAB">
            <w:rPr>
              <w:sz w:val="24"/>
              <w:szCs w:val="24"/>
            </w:rPr>
            <w:fldChar w:fldCharType="begin"/>
          </w:r>
          <w:r w:rsidRPr="00F41FAB">
            <w:rPr>
              <w:sz w:val="24"/>
              <w:szCs w:val="24"/>
            </w:rPr>
            <w:instrText xml:space="preserve"> TOC \o "1-3" \h \z \u </w:instrText>
          </w:r>
          <w:r w:rsidRPr="00F41FAB">
            <w:rPr>
              <w:sz w:val="24"/>
              <w:szCs w:val="24"/>
            </w:rPr>
            <w:fldChar w:fldCharType="separate"/>
          </w:r>
          <w:hyperlink w:anchor="_Toc522539937" w:history="1">
            <w:r w:rsidR="00F41FAB" w:rsidRPr="00F41FAB">
              <w:rPr>
                <w:rStyle w:val="Hipervnculo"/>
                <w:rFonts w:eastAsia="Times New Roman"/>
                <w:sz w:val="24"/>
                <w:szCs w:val="24"/>
              </w:rPr>
              <w:t>I.</w:t>
            </w:r>
            <w:r w:rsidR="00F41FAB" w:rsidRPr="00F41FAB">
              <w:rPr>
                <w:rFonts w:eastAsiaTheme="minorEastAsia"/>
                <w:b w:val="0"/>
                <w:sz w:val="24"/>
                <w:szCs w:val="24"/>
                <w:lang w:eastAsia="es-MX"/>
              </w:rPr>
              <w:tab/>
            </w:r>
            <w:r w:rsidR="00F41FAB" w:rsidRPr="00F41FAB">
              <w:rPr>
                <w:rStyle w:val="Hipervnculo"/>
                <w:rFonts w:eastAsia="Times New Roman"/>
                <w:sz w:val="24"/>
                <w:szCs w:val="24"/>
              </w:rPr>
              <w:t>Consideraciones Generales</w:t>
            </w:r>
            <w:r w:rsidR="00F41FAB" w:rsidRPr="00F41FAB">
              <w:rPr>
                <w:webHidden/>
                <w:sz w:val="24"/>
                <w:szCs w:val="24"/>
              </w:rPr>
              <w:tab/>
            </w:r>
            <w:r w:rsidR="00F41FAB" w:rsidRPr="00F41FAB">
              <w:rPr>
                <w:webHidden/>
                <w:sz w:val="24"/>
                <w:szCs w:val="24"/>
              </w:rPr>
              <w:fldChar w:fldCharType="begin"/>
            </w:r>
            <w:r w:rsidR="00F41FAB" w:rsidRPr="00F41FAB">
              <w:rPr>
                <w:webHidden/>
                <w:sz w:val="24"/>
                <w:szCs w:val="24"/>
              </w:rPr>
              <w:instrText xml:space="preserve"> PAGEREF _Toc522539937 \h </w:instrText>
            </w:r>
            <w:r w:rsidR="00F41FAB" w:rsidRPr="00F41FAB">
              <w:rPr>
                <w:webHidden/>
                <w:sz w:val="24"/>
                <w:szCs w:val="24"/>
              </w:rPr>
            </w:r>
            <w:r w:rsidR="00F41FAB" w:rsidRPr="00F41FAB">
              <w:rPr>
                <w:webHidden/>
                <w:sz w:val="24"/>
                <w:szCs w:val="24"/>
              </w:rPr>
              <w:fldChar w:fldCharType="separate"/>
            </w:r>
            <w:r w:rsidR="00F41FAB" w:rsidRPr="00F41FAB">
              <w:rPr>
                <w:webHidden/>
                <w:sz w:val="24"/>
                <w:szCs w:val="24"/>
              </w:rPr>
              <w:t>1</w:t>
            </w:r>
            <w:r w:rsidR="00F41FAB" w:rsidRPr="00F41FAB">
              <w:rPr>
                <w:webHidden/>
                <w:sz w:val="24"/>
                <w:szCs w:val="24"/>
              </w:rPr>
              <w:fldChar w:fldCharType="end"/>
            </w:r>
          </w:hyperlink>
        </w:p>
        <w:p w:rsidR="00F41FAB" w:rsidRPr="00F41FAB" w:rsidRDefault="004A2B75">
          <w:pPr>
            <w:pStyle w:val="TDC1"/>
            <w:rPr>
              <w:rFonts w:eastAsiaTheme="minorEastAsia"/>
              <w:b w:val="0"/>
              <w:sz w:val="24"/>
              <w:szCs w:val="24"/>
              <w:lang w:eastAsia="es-MX"/>
            </w:rPr>
          </w:pPr>
          <w:hyperlink w:anchor="_Toc522539938" w:history="1">
            <w:r w:rsidR="00F41FAB" w:rsidRPr="00F41FAB">
              <w:rPr>
                <w:rStyle w:val="Hipervnculo"/>
                <w:rFonts w:eastAsia="Calibri"/>
                <w:sz w:val="24"/>
                <w:szCs w:val="24"/>
                <w:lang w:val="es-ES"/>
              </w:rPr>
              <w:t>II.</w:t>
            </w:r>
            <w:r w:rsidR="00F41FAB" w:rsidRPr="00F41FAB">
              <w:rPr>
                <w:rFonts w:eastAsiaTheme="minorEastAsia"/>
                <w:b w:val="0"/>
                <w:sz w:val="24"/>
                <w:szCs w:val="24"/>
                <w:lang w:eastAsia="es-MX"/>
              </w:rPr>
              <w:tab/>
            </w:r>
            <w:r w:rsidR="00F41FAB" w:rsidRPr="00F41FAB">
              <w:rPr>
                <w:rStyle w:val="Hipervnculo"/>
                <w:rFonts w:eastAsia="Calibri"/>
                <w:sz w:val="24"/>
                <w:szCs w:val="24"/>
                <w:lang w:val="es-ES"/>
              </w:rPr>
              <w:t>De los requerimientos planteados en el recurso de revisión.</w:t>
            </w:r>
            <w:r w:rsidR="00F41FAB" w:rsidRPr="00F41FAB">
              <w:rPr>
                <w:webHidden/>
                <w:sz w:val="24"/>
                <w:szCs w:val="24"/>
              </w:rPr>
              <w:tab/>
            </w:r>
            <w:r w:rsidR="00F41FAB" w:rsidRPr="00F41FAB">
              <w:rPr>
                <w:webHidden/>
                <w:sz w:val="24"/>
                <w:szCs w:val="24"/>
              </w:rPr>
              <w:fldChar w:fldCharType="begin"/>
            </w:r>
            <w:r w:rsidR="00F41FAB" w:rsidRPr="00F41FAB">
              <w:rPr>
                <w:webHidden/>
                <w:sz w:val="24"/>
                <w:szCs w:val="24"/>
              </w:rPr>
              <w:instrText xml:space="preserve"> PAGEREF _Toc522539938 \h </w:instrText>
            </w:r>
            <w:r w:rsidR="00F41FAB" w:rsidRPr="00F41FAB">
              <w:rPr>
                <w:webHidden/>
                <w:sz w:val="24"/>
                <w:szCs w:val="24"/>
              </w:rPr>
            </w:r>
            <w:r w:rsidR="00F41FAB" w:rsidRPr="00F41FAB">
              <w:rPr>
                <w:webHidden/>
                <w:sz w:val="24"/>
                <w:szCs w:val="24"/>
              </w:rPr>
              <w:fldChar w:fldCharType="separate"/>
            </w:r>
            <w:r w:rsidR="00F41FAB" w:rsidRPr="00F41FAB">
              <w:rPr>
                <w:webHidden/>
                <w:sz w:val="24"/>
                <w:szCs w:val="24"/>
              </w:rPr>
              <w:t>2</w:t>
            </w:r>
            <w:r w:rsidR="00F41FAB" w:rsidRPr="00F41FAB">
              <w:rPr>
                <w:webHidden/>
                <w:sz w:val="24"/>
                <w:szCs w:val="24"/>
              </w:rPr>
              <w:fldChar w:fldCharType="end"/>
            </w:r>
          </w:hyperlink>
        </w:p>
        <w:p w:rsidR="00F41FAB" w:rsidRPr="00F41FAB" w:rsidRDefault="004A2B75">
          <w:pPr>
            <w:pStyle w:val="TDC2"/>
            <w:rPr>
              <w:rFonts w:ascii="Palatino Linotype" w:eastAsiaTheme="minorEastAsia" w:hAnsi="Palatino Linotype"/>
              <w:noProof/>
              <w:sz w:val="24"/>
              <w:szCs w:val="24"/>
              <w:lang w:eastAsia="es-MX"/>
            </w:rPr>
          </w:pPr>
          <w:hyperlink w:anchor="_Toc522539939" w:history="1">
            <w:r w:rsidR="00F41FAB" w:rsidRPr="00F41FAB">
              <w:rPr>
                <w:rStyle w:val="Hipervnculo"/>
                <w:rFonts w:ascii="Palatino Linotype" w:hAnsi="Palatino Linotype"/>
                <w:b/>
                <w:noProof/>
                <w:sz w:val="24"/>
                <w:szCs w:val="24"/>
              </w:rPr>
              <w:t>III. Del Derecho de Acceso a la información pública y el deber de motivar.</w:t>
            </w:r>
            <w:r w:rsidR="00F41FAB" w:rsidRPr="00F41FAB">
              <w:rPr>
                <w:rFonts w:ascii="Palatino Linotype" w:hAnsi="Palatino Linotype"/>
                <w:noProof/>
                <w:webHidden/>
                <w:sz w:val="24"/>
                <w:szCs w:val="24"/>
              </w:rPr>
              <w:tab/>
            </w:r>
            <w:r w:rsidR="00F41FAB" w:rsidRPr="00F41FAB">
              <w:rPr>
                <w:rFonts w:ascii="Palatino Linotype" w:hAnsi="Palatino Linotype"/>
                <w:noProof/>
                <w:webHidden/>
                <w:sz w:val="24"/>
                <w:szCs w:val="24"/>
              </w:rPr>
              <w:fldChar w:fldCharType="begin"/>
            </w:r>
            <w:r w:rsidR="00F41FAB" w:rsidRPr="00F41FAB">
              <w:rPr>
                <w:rFonts w:ascii="Palatino Linotype" w:hAnsi="Palatino Linotype"/>
                <w:noProof/>
                <w:webHidden/>
                <w:sz w:val="24"/>
                <w:szCs w:val="24"/>
              </w:rPr>
              <w:instrText xml:space="preserve"> PAGEREF _Toc522539939 \h </w:instrText>
            </w:r>
            <w:r w:rsidR="00F41FAB" w:rsidRPr="00F41FAB">
              <w:rPr>
                <w:rFonts w:ascii="Palatino Linotype" w:hAnsi="Palatino Linotype"/>
                <w:noProof/>
                <w:webHidden/>
                <w:sz w:val="24"/>
                <w:szCs w:val="24"/>
              </w:rPr>
            </w:r>
            <w:r w:rsidR="00F41FAB" w:rsidRPr="00F41FAB">
              <w:rPr>
                <w:rFonts w:ascii="Palatino Linotype" w:hAnsi="Palatino Linotype"/>
                <w:noProof/>
                <w:webHidden/>
                <w:sz w:val="24"/>
                <w:szCs w:val="24"/>
              </w:rPr>
              <w:fldChar w:fldCharType="separate"/>
            </w:r>
            <w:r w:rsidR="00F41FAB" w:rsidRPr="00F41FAB">
              <w:rPr>
                <w:rFonts w:ascii="Palatino Linotype" w:hAnsi="Palatino Linotype"/>
                <w:noProof/>
                <w:webHidden/>
                <w:sz w:val="24"/>
                <w:szCs w:val="24"/>
              </w:rPr>
              <w:t>4</w:t>
            </w:r>
            <w:r w:rsidR="00F41FAB" w:rsidRPr="00F41FAB">
              <w:rPr>
                <w:rFonts w:ascii="Palatino Linotype" w:hAnsi="Palatino Linotype"/>
                <w:noProof/>
                <w:webHidden/>
                <w:sz w:val="24"/>
                <w:szCs w:val="24"/>
              </w:rPr>
              <w:fldChar w:fldCharType="end"/>
            </w:r>
          </w:hyperlink>
        </w:p>
        <w:p w:rsidR="00F41FAB" w:rsidRPr="00F41FAB" w:rsidRDefault="004A2B75">
          <w:pPr>
            <w:pStyle w:val="TDC1"/>
            <w:rPr>
              <w:rFonts w:eastAsiaTheme="minorEastAsia"/>
              <w:b w:val="0"/>
              <w:sz w:val="24"/>
              <w:szCs w:val="24"/>
              <w:lang w:eastAsia="es-MX"/>
            </w:rPr>
          </w:pPr>
          <w:hyperlink w:anchor="_Toc522539940" w:history="1">
            <w:r w:rsidR="00F41FAB" w:rsidRPr="00F41FAB">
              <w:rPr>
                <w:rStyle w:val="Hipervnculo"/>
                <w:rFonts w:eastAsia="Calibri"/>
                <w:sz w:val="24"/>
                <w:szCs w:val="24"/>
              </w:rPr>
              <w:t>IV. Del Pronunciamiento simple</w:t>
            </w:r>
            <w:r w:rsidR="00F41FAB" w:rsidRPr="00F41FAB">
              <w:rPr>
                <w:webHidden/>
                <w:sz w:val="24"/>
                <w:szCs w:val="24"/>
              </w:rPr>
              <w:tab/>
            </w:r>
            <w:r w:rsidR="00F41FAB" w:rsidRPr="00F41FAB">
              <w:rPr>
                <w:webHidden/>
                <w:sz w:val="24"/>
                <w:szCs w:val="24"/>
              </w:rPr>
              <w:fldChar w:fldCharType="begin"/>
            </w:r>
            <w:r w:rsidR="00F41FAB" w:rsidRPr="00F41FAB">
              <w:rPr>
                <w:webHidden/>
                <w:sz w:val="24"/>
                <w:szCs w:val="24"/>
              </w:rPr>
              <w:instrText xml:space="preserve"> PAGEREF _Toc522539940 \h </w:instrText>
            </w:r>
            <w:r w:rsidR="00F41FAB" w:rsidRPr="00F41FAB">
              <w:rPr>
                <w:webHidden/>
                <w:sz w:val="24"/>
                <w:szCs w:val="24"/>
              </w:rPr>
            </w:r>
            <w:r w:rsidR="00F41FAB" w:rsidRPr="00F41FAB">
              <w:rPr>
                <w:webHidden/>
                <w:sz w:val="24"/>
                <w:szCs w:val="24"/>
              </w:rPr>
              <w:fldChar w:fldCharType="separate"/>
            </w:r>
            <w:r w:rsidR="00F41FAB" w:rsidRPr="00F41FAB">
              <w:rPr>
                <w:webHidden/>
                <w:sz w:val="24"/>
                <w:szCs w:val="24"/>
              </w:rPr>
              <w:t>10</w:t>
            </w:r>
            <w:r w:rsidR="00F41FAB" w:rsidRPr="00F41FAB">
              <w:rPr>
                <w:webHidden/>
                <w:sz w:val="24"/>
                <w:szCs w:val="24"/>
              </w:rPr>
              <w:fldChar w:fldCharType="end"/>
            </w:r>
          </w:hyperlink>
        </w:p>
        <w:p w:rsidR="00F41FAB" w:rsidRPr="00F41FAB" w:rsidRDefault="004A2B75">
          <w:pPr>
            <w:pStyle w:val="TDC1"/>
            <w:rPr>
              <w:rFonts w:eastAsiaTheme="minorEastAsia"/>
              <w:b w:val="0"/>
              <w:sz w:val="24"/>
              <w:szCs w:val="24"/>
              <w:lang w:eastAsia="es-MX"/>
            </w:rPr>
          </w:pPr>
          <w:hyperlink w:anchor="_Toc522539941" w:history="1">
            <w:r w:rsidR="00F41FAB" w:rsidRPr="00F41FAB">
              <w:rPr>
                <w:rStyle w:val="Hipervnculo"/>
                <w:rFonts w:eastAsia="Calibri"/>
                <w:sz w:val="24"/>
                <w:szCs w:val="24"/>
              </w:rPr>
              <w:t>V. Conclusión.</w:t>
            </w:r>
            <w:r w:rsidR="00F41FAB" w:rsidRPr="00F41FAB">
              <w:rPr>
                <w:webHidden/>
                <w:sz w:val="24"/>
                <w:szCs w:val="24"/>
              </w:rPr>
              <w:tab/>
            </w:r>
            <w:r w:rsidR="00F41FAB" w:rsidRPr="00F41FAB">
              <w:rPr>
                <w:webHidden/>
                <w:sz w:val="24"/>
                <w:szCs w:val="24"/>
              </w:rPr>
              <w:fldChar w:fldCharType="begin"/>
            </w:r>
            <w:r w:rsidR="00F41FAB" w:rsidRPr="00F41FAB">
              <w:rPr>
                <w:webHidden/>
                <w:sz w:val="24"/>
                <w:szCs w:val="24"/>
              </w:rPr>
              <w:instrText xml:space="preserve"> PAGEREF _Toc522539941 \h </w:instrText>
            </w:r>
            <w:r w:rsidR="00F41FAB" w:rsidRPr="00F41FAB">
              <w:rPr>
                <w:webHidden/>
                <w:sz w:val="24"/>
                <w:szCs w:val="24"/>
              </w:rPr>
            </w:r>
            <w:r w:rsidR="00F41FAB" w:rsidRPr="00F41FAB">
              <w:rPr>
                <w:webHidden/>
                <w:sz w:val="24"/>
                <w:szCs w:val="24"/>
              </w:rPr>
              <w:fldChar w:fldCharType="separate"/>
            </w:r>
            <w:r w:rsidR="00F41FAB" w:rsidRPr="00F41FAB">
              <w:rPr>
                <w:webHidden/>
                <w:sz w:val="24"/>
                <w:szCs w:val="24"/>
              </w:rPr>
              <w:t>17</w:t>
            </w:r>
            <w:r w:rsidR="00F41FAB" w:rsidRPr="00F41FAB">
              <w:rPr>
                <w:webHidden/>
                <w:sz w:val="24"/>
                <w:szCs w:val="24"/>
              </w:rPr>
              <w:fldChar w:fldCharType="end"/>
            </w:r>
          </w:hyperlink>
        </w:p>
        <w:p w:rsidR="00E6179D" w:rsidRPr="00F41FAB" w:rsidRDefault="00E6179D" w:rsidP="00B73B30">
          <w:pPr>
            <w:spacing w:line="360" w:lineRule="auto"/>
            <w:rPr>
              <w:rFonts w:ascii="Palatino Linotype" w:hAnsi="Palatino Linotype"/>
              <w:sz w:val="24"/>
              <w:szCs w:val="24"/>
            </w:rPr>
          </w:pPr>
          <w:r w:rsidRPr="00F41FAB">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0" w:name="_Toc522539937"/>
      <w:r w:rsidRPr="00427B79">
        <w:rPr>
          <w:rFonts w:eastAsia="Times New Roman"/>
          <w:color w:val="auto"/>
          <w:szCs w:val="24"/>
        </w:rPr>
        <w:t>Consideraciones Generales</w:t>
      </w:r>
      <w:bookmarkEnd w:id="0"/>
    </w:p>
    <w:p w:rsidR="0003648B" w:rsidRPr="00427B79" w:rsidRDefault="0003648B" w:rsidP="0003648B">
      <w:pPr>
        <w:pStyle w:val="TDC1"/>
        <w:ind w:left="0"/>
        <w:rPr>
          <w:sz w:val="24"/>
          <w:szCs w:val="24"/>
          <w:lang w:val="es-ES"/>
        </w:rPr>
      </w:pPr>
    </w:p>
    <w:p w:rsidR="00EF3EA6" w:rsidRPr="00427B79" w:rsidRDefault="00E6179D" w:rsidP="00EF3EA6">
      <w:pPr>
        <w:spacing w:after="0" w:line="360" w:lineRule="auto"/>
        <w:jc w:val="both"/>
        <w:rPr>
          <w:rFonts w:ascii="Palatino Linotype" w:eastAsia="Calibri" w:hAnsi="Palatino Linotype" w:cs="Arial"/>
          <w:b/>
          <w:bCs/>
          <w:sz w:val="24"/>
          <w:szCs w:val="24"/>
          <w:lang w:eastAsia="es-MX"/>
        </w:rPr>
      </w:pPr>
      <w:r w:rsidRPr="00427B79">
        <w:rPr>
          <w:rFonts w:ascii="Palatino Linotype" w:eastAsia="Times New Roman" w:hAnsi="Palatino Linotype" w:cs="Arial"/>
          <w:sz w:val="24"/>
          <w:szCs w:val="24"/>
          <w:lang w:val="es-ES_tradnl"/>
        </w:rPr>
        <w:t xml:space="preserve">He concurrido con mi voto particular de la presente resolución emitida </w:t>
      </w:r>
      <w:r w:rsidRPr="00427B79">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A5179E">
        <w:rPr>
          <w:rFonts w:ascii="Palatino Linotype" w:eastAsia="Calibri" w:hAnsi="Palatino Linotype" w:cs="Arial"/>
          <w:sz w:val="24"/>
          <w:szCs w:val="24"/>
        </w:rPr>
        <w:t>Vigésima</w:t>
      </w:r>
      <w:r w:rsidR="00DB39B5">
        <w:rPr>
          <w:rFonts w:ascii="Palatino Linotype" w:eastAsia="Calibri" w:hAnsi="Palatino Linotype" w:cs="Arial"/>
          <w:sz w:val="24"/>
          <w:szCs w:val="24"/>
        </w:rPr>
        <w:t xml:space="preserve"> </w:t>
      </w:r>
      <w:r w:rsidR="00EF21BF">
        <w:rPr>
          <w:rFonts w:ascii="Palatino Linotype" w:eastAsia="Calibri" w:hAnsi="Palatino Linotype" w:cs="Arial"/>
          <w:sz w:val="24"/>
          <w:szCs w:val="24"/>
        </w:rPr>
        <w:t>Novena</w:t>
      </w:r>
      <w:r w:rsidR="00C9078E">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 xml:space="preserve">Sesión Ordinaria celebrada el día </w:t>
      </w:r>
      <w:r w:rsidR="008F0CB4">
        <w:rPr>
          <w:rFonts w:ascii="Palatino Linotype" w:eastAsia="Calibri" w:hAnsi="Palatino Linotype" w:cs="Arial"/>
          <w:sz w:val="24"/>
          <w:szCs w:val="24"/>
        </w:rPr>
        <w:t>quince</w:t>
      </w:r>
      <w:r w:rsidRPr="00427B79">
        <w:rPr>
          <w:rFonts w:ascii="Palatino Linotype" w:eastAsia="Calibri" w:hAnsi="Palatino Linotype" w:cs="Arial"/>
          <w:sz w:val="24"/>
          <w:szCs w:val="24"/>
        </w:rPr>
        <w:t xml:space="preserve"> (</w:t>
      </w:r>
      <w:r w:rsidR="00EF21BF">
        <w:rPr>
          <w:rFonts w:ascii="Palatino Linotype" w:eastAsia="Calibri" w:hAnsi="Palatino Linotype" w:cs="Arial"/>
          <w:sz w:val="24"/>
          <w:szCs w:val="24"/>
        </w:rPr>
        <w:t>15</w:t>
      </w:r>
      <w:r w:rsidRPr="00427B79">
        <w:rPr>
          <w:rFonts w:ascii="Palatino Linotype" w:eastAsia="Calibri" w:hAnsi="Palatino Linotype" w:cs="Arial"/>
          <w:sz w:val="24"/>
          <w:szCs w:val="24"/>
        </w:rPr>
        <w:t xml:space="preserve">) de </w:t>
      </w:r>
      <w:r w:rsidR="006562FF">
        <w:rPr>
          <w:rFonts w:ascii="Palatino Linotype" w:eastAsia="Calibri" w:hAnsi="Palatino Linotype" w:cs="Arial"/>
          <w:sz w:val="24"/>
          <w:szCs w:val="24"/>
        </w:rPr>
        <w:t>agosto</w:t>
      </w:r>
      <w:r w:rsidRPr="00427B79">
        <w:rPr>
          <w:rFonts w:ascii="Palatino Linotype" w:eastAsia="Calibri" w:hAnsi="Palatino Linotype" w:cs="Arial"/>
          <w:sz w:val="24"/>
          <w:szCs w:val="24"/>
        </w:rPr>
        <w:t xml:space="preserve"> de</w:t>
      </w:r>
      <w:r w:rsidR="001F0E58">
        <w:rPr>
          <w:rFonts w:ascii="Palatino Linotype" w:eastAsia="Calibri" w:hAnsi="Palatino Linotype" w:cs="Arial"/>
          <w:sz w:val="24"/>
          <w:szCs w:val="24"/>
        </w:rPr>
        <w:t>l</w:t>
      </w:r>
      <w:r w:rsidRPr="00427B79">
        <w:rPr>
          <w:rFonts w:ascii="Palatino Linotype" w:eastAsia="Calibri" w:hAnsi="Palatino Linotype" w:cs="Arial"/>
          <w:sz w:val="24"/>
          <w:szCs w:val="24"/>
        </w:rPr>
        <w:t xml:space="preserve"> </w:t>
      </w:r>
      <w:r w:rsidR="001F0E58">
        <w:rPr>
          <w:rFonts w:ascii="Palatino Linotype" w:eastAsia="Calibri" w:hAnsi="Palatino Linotype" w:cs="Arial"/>
          <w:sz w:val="24"/>
          <w:szCs w:val="24"/>
        </w:rPr>
        <w:t>dos mil dieciocho</w:t>
      </w:r>
      <w:r w:rsidRPr="00427B79">
        <w:rPr>
          <w:rFonts w:ascii="Palatino Linotype" w:eastAsia="Calibri" w:hAnsi="Palatino Linotype" w:cs="Arial"/>
          <w:sz w:val="24"/>
          <w:szCs w:val="24"/>
        </w:rPr>
        <w:t xml:space="preserve">, en el recurso </w:t>
      </w:r>
      <w:r w:rsidRPr="00427B79">
        <w:rPr>
          <w:rFonts w:ascii="Palatino Linotype" w:eastAsia="Calibri" w:hAnsi="Palatino Linotype" w:cs="Arial"/>
          <w:sz w:val="24"/>
          <w:szCs w:val="24"/>
        </w:rPr>
        <w:lastRenderedPageBreak/>
        <w:t xml:space="preserve">de revisión interpuesto </w:t>
      </w:r>
      <w:r w:rsidRPr="00772B4B">
        <w:rPr>
          <w:rFonts w:ascii="Palatino Linotype" w:eastAsia="Calibri" w:hAnsi="Palatino Linotype" w:cs="Arial"/>
          <w:sz w:val="24"/>
          <w:szCs w:val="24"/>
        </w:rPr>
        <w:t>por</w:t>
      </w:r>
      <w:r w:rsidR="00B87805" w:rsidRPr="00B87805">
        <w:t xml:space="preserve"> </w:t>
      </w:r>
      <w:r w:rsidR="009E0532">
        <w:rPr>
          <w:rFonts w:ascii="Palatino Linotype" w:eastAsia="Calibri" w:hAnsi="Palatino Linotype" w:cs="Arial"/>
          <w:b/>
          <w:sz w:val="24"/>
          <w:szCs w:val="24"/>
        </w:rPr>
        <w:t>xxxxxxxxxx</w:t>
      </w:r>
      <w:r w:rsidR="0018245A">
        <w:rPr>
          <w:rFonts w:ascii="Palatino Linotype" w:hAnsi="Palatino Linotype"/>
          <w:b/>
          <w:lang w:val="es-ES_tradnl"/>
        </w:rPr>
        <w:t>,</w:t>
      </w:r>
      <w:r w:rsidR="003A4962">
        <w:rPr>
          <w:rFonts w:ascii="Palatino Linotype" w:hAnsi="Palatino Linotype"/>
          <w:b/>
          <w:lang w:val="es-ES_tradnl"/>
        </w:rPr>
        <w:t xml:space="preserve"> </w:t>
      </w:r>
      <w:r w:rsidR="00EA110C" w:rsidRPr="00EA110C">
        <w:rPr>
          <w:rFonts w:ascii="Palatino Linotype" w:hAnsi="Palatino Linotype"/>
          <w:b/>
        </w:rPr>
        <w:t xml:space="preserve"> </w:t>
      </w:r>
      <w:r w:rsidR="003E0648">
        <w:rPr>
          <w:rFonts w:ascii="Palatino Linotype" w:eastAsia="Calibri" w:hAnsi="Palatino Linotype" w:cs="Arial"/>
          <w:sz w:val="24"/>
          <w:szCs w:val="24"/>
        </w:rPr>
        <w:t xml:space="preserve">en contra de la respuesta </w:t>
      </w:r>
      <w:r w:rsidR="003E0648" w:rsidRPr="00223548">
        <w:rPr>
          <w:rFonts w:ascii="Palatino Linotype" w:eastAsia="Calibri" w:hAnsi="Palatino Linotype" w:cs="Arial"/>
          <w:sz w:val="24"/>
          <w:szCs w:val="24"/>
        </w:rPr>
        <w:t>de</w:t>
      </w:r>
      <w:r w:rsidR="00EF21BF">
        <w:rPr>
          <w:rFonts w:ascii="Palatino Linotype" w:eastAsia="Calibri" w:hAnsi="Palatino Linotype" w:cs="Arial"/>
          <w:sz w:val="24"/>
          <w:szCs w:val="24"/>
        </w:rPr>
        <w:t>l</w:t>
      </w:r>
      <w:r w:rsidR="00B87805" w:rsidRPr="00B87805">
        <w:rPr>
          <w:rFonts w:ascii="Palatino Linotype" w:hAnsi="Palatino Linotype" w:cs="Arial"/>
          <w:b/>
        </w:rPr>
        <w:t xml:space="preserve"> </w:t>
      </w:r>
      <w:r w:rsidR="00B87805">
        <w:rPr>
          <w:rFonts w:ascii="Palatino Linotype" w:hAnsi="Palatino Linotype" w:cs="Arial"/>
          <w:b/>
        </w:rPr>
        <w:t>Ayuntamiento de Toluca</w:t>
      </w:r>
      <w:r w:rsidR="00EF21BF">
        <w:rPr>
          <w:rFonts w:ascii="Palatino Linotype" w:eastAsia="Calibri" w:hAnsi="Palatino Linotype" w:cs="Arial"/>
          <w:sz w:val="24"/>
          <w:szCs w:val="24"/>
        </w:rPr>
        <w:t xml:space="preserve">, </w:t>
      </w:r>
      <w:r w:rsidR="006908FD">
        <w:rPr>
          <w:rFonts w:ascii="Palatino Linotype" w:hAnsi="Palatino Linotype" w:cs="Arial"/>
          <w:b/>
        </w:rPr>
        <w:t xml:space="preserve"> </w:t>
      </w:r>
      <w:r w:rsidRPr="00427B79">
        <w:rPr>
          <w:rFonts w:ascii="Palatino Linotype" w:eastAsia="Calibri" w:hAnsi="Palatino Linotype" w:cs="Arial"/>
          <w:sz w:val="24"/>
          <w:szCs w:val="24"/>
        </w:rPr>
        <w:t>procedimiento que le fue asignado el número de expediente</w:t>
      </w:r>
      <w:r w:rsidR="00DB39B5">
        <w:rPr>
          <w:rFonts w:ascii="Palatino Linotype" w:eastAsia="Calibri" w:hAnsi="Palatino Linotype" w:cs="Arial"/>
          <w:sz w:val="24"/>
          <w:szCs w:val="24"/>
        </w:rPr>
        <w:t xml:space="preserve"> </w:t>
      </w:r>
      <w:r w:rsidR="00D36317">
        <w:rPr>
          <w:rFonts w:ascii="Palatino Linotype" w:hAnsi="Palatino Linotype" w:cs="Arial"/>
          <w:b/>
          <w:bCs/>
          <w:sz w:val="23"/>
          <w:szCs w:val="23"/>
        </w:rPr>
        <w:t>0</w:t>
      </w:r>
      <w:r w:rsidR="00D549C7">
        <w:rPr>
          <w:rFonts w:ascii="Palatino Linotype" w:hAnsi="Palatino Linotype" w:cs="Arial"/>
          <w:b/>
          <w:bCs/>
          <w:sz w:val="23"/>
          <w:szCs w:val="23"/>
        </w:rPr>
        <w:t>2</w:t>
      </w:r>
      <w:r w:rsidR="00B87805">
        <w:rPr>
          <w:rFonts w:ascii="Palatino Linotype" w:hAnsi="Palatino Linotype" w:cs="Arial"/>
          <w:b/>
          <w:bCs/>
          <w:sz w:val="23"/>
          <w:szCs w:val="23"/>
        </w:rPr>
        <w:t>229</w:t>
      </w:r>
      <w:r w:rsidR="00EF3EA6" w:rsidRPr="006D3D71">
        <w:rPr>
          <w:rFonts w:ascii="Palatino Linotype" w:hAnsi="Palatino Linotype" w:cs="Arial"/>
          <w:b/>
          <w:bCs/>
          <w:sz w:val="23"/>
          <w:szCs w:val="23"/>
        </w:rPr>
        <w:t>/INFOEM/IP/RR/2018</w:t>
      </w:r>
      <w:r w:rsidR="0032240B">
        <w:rPr>
          <w:rFonts w:ascii="Palatino Linotype" w:hAnsi="Palatino Linotype" w:cs="Arial"/>
          <w:b/>
          <w:bCs/>
          <w:sz w:val="23"/>
          <w:szCs w:val="23"/>
        </w:rPr>
        <w:t>.</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determina </w:t>
      </w:r>
      <w:r w:rsidR="00EF21BF">
        <w:rPr>
          <w:rFonts w:ascii="Palatino Linotype" w:eastAsia="Calibri" w:hAnsi="Palatino Linotype" w:cs="Arial"/>
          <w:b/>
          <w:sz w:val="24"/>
          <w:szCs w:val="24"/>
        </w:rPr>
        <w:t>MODIFICAR</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rPr>
        <w:t xml:space="preserve">Estando de acuerdo con la resolución formulada por el comisionado ponente, mi voto particular se deriva del simple pronunciamiento que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realizó al momento de emitir la respuesta a la solicitud de información.</w:t>
      </w:r>
      <w:r w:rsidRPr="00427B79">
        <w:rPr>
          <w:rFonts w:ascii="Palatino Linotype" w:eastAsia="Calibri" w:hAnsi="Palatino Linotype" w:cs="Arial"/>
          <w:sz w:val="24"/>
          <w:szCs w:val="24"/>
          <w:lang w:val="es-ES"/>
        </w:rPr>
        <w:t xml:space="preserve">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1" w:name="_Toc522539938"/>
      <w:r w:rsidRPr="00427B79">
        <w:rPr>
          <w:rFonts w:eastAsia="Calibri"/>
          <w:color w:val="auto"/>
          <w:szCs w:val="24"/>
          <w:lang w:val="es-ES"/>
        </w:rPr>
        <w:t>De los requerimientos planteados en el recurso de revisión.</w:t>
      </w:r>
      <w:bookmarkEnd w:id="1"/>
    </w:p>
    <w:p w:rsidR="00E6179D" w:rsidRPr="00427B79" w:rsidRDefault="00E6179D" w:rsidP="00E6179D">
      <w:pPr>
        <w:pStyle w:val="Prrafodelista"/>
        <w:ind w:left="0"/>
        <w:rPr>
          <w:rFonts w:ascii="Palatino Linotype" w:eastAsia="Calibri" w:hAnsi="Palatino Linotype" w:cs="Arial"/>
          <w:sz w:val="24"/>
          <w:szCs w:val="24"/>
          <w:lang w:val="es-ES"/>
        </w:rPr>
      </w:pPr>
    </w:p>
    <w:p w:rsidR="0032240B" w:rsidRPr="00B87805" w:rsidRDefault="00E6179D" w:rsidP="00B87805">
      <w:pPr>
        <w:pStyle w:val="Cuerpo"/>
        <w:spacing w:before="240" w:after="360" w:line="360" w:lineRule="auto"/>
        <w:ind w:left="851" w:right="902"/>
        <w:jc w:val="both"/>
        <w:rPr>
          <w:rFonts w:ascii="Verdana" w:hAnsi="Verdana"/>
        </w:rPr>
      </w:pPr>
      <w:r w:rsidRPr="00427B79">
        <w:rPr>
          <w:rFonts w:ascii="Palatino Linotype" w:hAnsi="Palatino Linotype" w:cs="Arial"/>
          <w:sz w:val="24"/>
          <w:szCs w:val="24"/>
          <w:lang w:val="es-ES"/>
        </w:rPr>
        <w:t xml:space="preserve">En </w:t>
      </w:r>
      <w:r w:rsidRPr="00427B79">
        <w:rPr>
          <w:rFonts w:ascii="Palatino Linotype" w:hAnsi="Palatino Linotype" w:cs="Times New Roman"/>
          <w:sz w:val="24"/>
          <w:szCs w:val="24"/>
        </w:rPr>
        <w:t>ejercicio del derecho constitucional que le asiste al particular, formuló una solicitu</w:t>
      </w:r>
      <w:r w:rsidR="003E0648">
        <w:rPr>
          <w:rFonts w:ascii="Palatino Linotype" w:hAnsi="Palatino Linotype" w:cs="Times New Roman"/>
          <w:sz w:val="24"/>
          <w:szCs w:val="24"/>
        </w:rPr>
        <w:t>d de información dirigida hacia</w:t>
      </w:r>
      <w:r w:rsidR="00C752C4" w:rsidRPr="00C752C4">
        <w:rPr>
          <w:rFonts w:ascii="Palatino Linotype" w:eastAsiaTheme="minorEastAsia" w:hAnsi="Palatino Linotype" w:cs="Arial"/>
          <w:b/>
        </w:rPr>
        <w:t xml:space="preserve"> </w:t>
      </w:r>
      <w:r w:rsidR="00C752C4">
        <w:rPr>
          <w:rFonts w:ascii="Palatino Linotype" w:eastAsiaTheme="minorEastAsia" w:hAnsi="Palatino Linotype" w:cs="Arial"/>
          <w:b/>
        </w:rPr>
        <w:t>e</w:t>
      </w:r>
      <w:r w:rsidR="00EF21BF">
        <w:rPr>
          <w:rFonts w:ascii="Palatino Linotype" w:eastAsiaTheme="minorEastAsia" w:hAnsi="Palatino Linotype" w:cs="Arial"/>
          <w:b/>
        </w:rPr>
        <w:t>l</w:t>
      </w:r>
      <w:r w:rsidR="00EF21BF" w:rsidRPr="00EF21BF">
        <w:rPr>
          <w:rFonts w:ascii="Palatino Linotype" w:hAnsi="Palatino Linotype"/>
          <w:b/>
        </w:rPr>
        <w:t xml:space="preserve"> </w:t>
      </w:r>
      <w:r w:rsidR="00EF21BF" w:rsidRPr="00810759">
        <w:rPr>
          <w:rFonts w:ascii="Palatino Linotype" w:hAnsi="Palatino Linotype"/>
          <w:b/>
        </w:rPr>
        <w:t xml:space="preserve">Ayuntamiento de </w:t>
      </w:r>
      <w:r w:rsidR="00B87805">
        <w:rPr>
          <w:rFonts w:ascii="Palatino Linotype" w:hAnsi="Palatino Linotype"/>
          <w:b/>
        </w:rPr>
        <w:t>Toluca</w:t>
      </w:r>
      <w:r w:rsidR="00480F5B">
        <w:rPr>
          <w:rFonts w:ascii="Palatino Linotype" w:hAnsi="Palatino Linotype" w:cs="Arial"/>
        </w:rPr>
        <w:t xml:space="preserve">, </w:t>
      </w:r>
      <w:r w:rsidR="00C752C4">
        <w:rPr>
          <w:rFonts w:ascii="Palatino Linotype" w:hAnsi="Palatino Linotype" w:cs="Arial"/>
        </w:rPr>
        <w:t xml:space="preserve"> </w:t>
      </w:r>
      <w:r w:rsidR="005C0258">
        <w:rPr>
          <w:rFonts w:ascii="Palatino Linotype" w:hAnsi="Palatino Linotype" w:cs="Times New Roman"/>
          <w:sz w:val="24"/>
          <w:szCs w:val="24"/>
        </w:rPr>
        <w:t xml:space="preserve">en dicha solicitud planteó lo </w:t>
      </w:r>
      <w:r w:rsidRPr="00427B79">
        <w:rPr>
          <w:rFonts w:ascii="Palatino Linotype" w:hAnsi="Palatino Linotype" w:cs="Times New Roman"/>
          <w:sz w:val="24"/>
          <w:szCs w:val="24"/>
        </w:rPr>
        <w:t>siguient</w:t>
      </w:r>
      <w:r w:rsidR="00480F5B">
        <w:rPr>
          <w:rFonts w:ascii="Palatino Linotype" w:hAnsi="Palatino Linotype" w:cs="Times New Roman"/>
          <w:sz w:val="24"/>
          <w:szCs w:val="24"/>
        </w:rPr>
        <w:t>e</w:t>
      </w:r>
      <w:r w:rsidR="00EF3EA6" w:rsidRPr="00EF3EA6">
        <w:rPr>
          <w:rFonts w:ascii="Palatino Linotype" w:hAnsi="Palatino Linotype" w:cs="Arial"/>
          <w:b/>
        </w:rPr>
        <w:t xml:space="preserve"> </w:t>
      </w:r>
      <w:r w:rsidR="00B87805" w:rsidRPr="005128BF">
        <w:rPr>
          <w:rFonts w:ascii="Palatino Linotype" w:eastAsiaTheme="minorEastAsia" w:hAnsi="Palatino Linotype" w:cs="Arial"/>
          <w:i/>
          <w:sz w:val="24"/>
          <w:szCs w:val="24"/>
          <w:lang w:val="es-MX"/>
        </w:rPr>
        <w:t>“</w:t>
      </w:r>
      <w:r w:rsidR="00B87805" w:rsidRPr="00B80E7E">
        <w:rPr>
          <w:rFonts w:ascii="Palatino Linotype" w:hAnsi="Palatino Linotype"/>
          <w:i/>
          <w:sz w:val="24"/>
          <w:szCs w:val="24"/>
        </w:rPr>
        <w:t xml:space="preserve">solicito la informacion y copias simple del contenido de la licencias de construccion, ampliacion, uso de suelo, funcionamiento , comerciales, y </w:t>
      </w:r>
      <w:r w:rsidR="00B87805" w:rsidRPr="00B80E7E">
        <w:rPr>
          <w:rFonts w:ascii="Palatino Linotype" w:hAnsi="Palatino Linotype"/>
          <w:i/>
          <w:sz w:val="24"/>
          <w:szCs w:val="24"/>
        </w:rPr>
        <w:lastRenderedPageBreak/>
        <w:t xml:space="preserve">alineamiento y numero oficial, que se hayan expedido durante los anos 2017 y 2018 a nombre de </w:t>
      </w:r>
      <w:r w:rsidR="009E0532">
        <w:rPr>
          <w:rFonts w:ascii="Palatino Linotype" w:hAnsi="Palatino Linotype"/>
          <w:i/>
          <w:sz w:val="24"/>
          <w:szCs w:val="24"/>
        </w:rPr>
        <w:t>xxxxxxxx</w:t>
      </w:r>
      <w:r w:rsidR="00B87805" w:rsidRPr="00B80E7E">
        <w:rPr>
          <w:rFonts w:ascii="Palatino Linotype" w:hAnsi="Palatino Linotype"/>
          <w:i/>
          <w:sz w:val="24"/>
          <w:szCs w:val="24"/>
        </w:rPr>
        <w:t xml:space="preserve"> y/o </w:t>
      </w:r>
      <w:r w:rsidR="009E0532">
        <w:rPr>
          <w:rFonts w:ascii="Palatino Linotype" w:hAnsi="Palatino Linotype"/>
          <w:i/>
          <w:sz w:val="24"/>
          <w:szCs w:val="24"/>
        </w:rPr>
        <w:t>xxxxxx</w:t>
      </w:r>
      <w:r w:rsidR="00B87805" w:rsidRPr="00B80E7E">
        <w:rPr>
          <w:rFonts w:ascii="Palatino Linotype" w:hAnsi="Palatino Linotype"/>
          <w:i/>
          <w:sz w:val="24"/>
          <w:szCs w:val="24"/>
        </w:rPr>
        <w:t xml:space="preserve"> y/o </w:t>
      </w:r>
      <w:r w:rsidR="009E0532">
        <w:rPr>
          <w:rFonts w:ascii="Palatino Linotype" w:hAnsi="Palatino Linotype"/>
          <w:i/>
          <w:sz w:val="24"/>
          <w:szCs w:val="24"/>
        </w:rPr>
        <w:t>xxxxxxxxxx</w:t>
      </w:r>
      <w:r w:rsidR="00B87805" w:rsidRPr="00B80E7E">
        <w:rPr>
          <w:rFonts w:ascii="Palatino Linotype" w:hAnsi="Palatino Linotype"/>
          <w:i/>
          <w:sz w:val="24"/>
          <w:szCs w:val="24"/>
        </w:rPr>
        <w:t xml:space="preserve">, y/o </w:t>
      </w:r>
      <w:r w:rsidR="009E0532">
        <w:rPr>
          <w:rFonts w:ascii="Palatino Linotype" w:hAnsi="Palatino Linotype"/>
          <w:i/>
          <w:sz w:val="24"/>
          <w:szCs w:val="24"/>
        </w:rPr>
        <w:t>xxxxxxxx</w:t>
      </w:r>
      <w:r w:rsidR="00B87805" w:rsidRPr="00B80E7E">
        <w:rPr>
          <w:rFonts w:ascii="Palatino Linotype" w:hAnsi="Palatino Linotype"/>
          <w:i/>
          <w:sz w:val="24"/>
          <w:szCs w:val="24"/>
        </w:rPr>
        <w:t xml:space="preserve"> ubicado en: </w:t>
      </w:r>
      <w:r w:rsidR="009E0532">
        <w:rPr>
          <w:rFonts w:ascii="Palatino Linotype" w:hAnsi="Palatino Linotype"/>
          <w:i/>
          <w:sz w:val="24"/>
          <w:szCs w:val="24"/>
        </w:rPr>
        <w:t>xxxxxxxxxxxx</w:t>
      </w:r>
      <w:r w:rsidR="00B87805" w:rsidRPr="00B80E7E">
        <w:rPr>
          <w:rFonts w:ascii="Palatino Linotype" w:hAnsi="Palatino Linotype"/>
          <w:i/>
          <w:sz w:val="24"/>
          <w:szCs w:val="24"/>
        </w:rPr>
        <w:t xml:space="preserve"> con clave catastral </w:t>
      </w:r>
      <w:r w:rsidR="009E0532">
        <w:rPr>
          <w:rFonts w:ascii="Palatino Linotype" w:hAnsi="Palatino Linotype"/>
          <w:i/>
          <w:sz w:val="24"/>
          <w:szCs w:val="24"/>
        </w:rPr>
        <w:t>xxxxxxxxxxx</w:t>
      </w:r>
      <w:r w:rsidR="00B87805" w:rsidRPr="005128BF">
        <w:rPr>
          <w:rFonts w:ascii="Palatino Linotype" w:hAnsi="Palatino Linotype" w:cs="Arial"/>
          <w:i/>
          <w:sz w:val="24"/>
          <w:szCs w:val="24"/>
        </w:rPr>
        <w:t>”</w:t>
      </w:r>
      <w:r w:rsidR="00B87805" w:rsidRPr="0041342A">
        <w:rPr>
          <w:rFonts w:ascii="Palatino Linotype" w:hAnsi="Palatino Linotype" w:cs="Arial"/>
          <w:i/>
        </w:rPr>
        <w:t>(</w:t>
      </w:r>
      <w:r w:rsidR="00B87805" w:rsidRPr="0041342A">
        <w:rPr>
          <w:rFonts w:ascii="Palatino Linotype" w:hAnsi="Palatino Linotype" w:cs="Arial"/>
          <w:i/>
          <w:sz w:val="16"/>
        </w:rPr>
        <w:t>sic)</w:t>
      </w:r>
    </w:p>
    <w:p w:rsidR="00EF3EA6" w:rsidRDefault="00EF3EA6" w:rsidP="00EF3EA6">
      <w:pPr>
        <w:autoSpaceDE w:val="0"/>
        <w:autoSpaceDN w:val="0"/>
        <w:adjustRightInd w:val="0"/>
        <w:ind w:left="851" w:right="900"/>
        <w:jc w:val="both"/>
        <w:rPr>
          <w:rFonts w:ascii="Palatino Linotype" w:hAnsi="Palatino Linotype" w:cs="Arial"/>
          <w:b/>
        </w:rPr>
      </w:pPr>
    </w:p>
    <w:p w:rsidR="00E6179D" w:rsidRPr="00C752C4" w:rsidRDefault="00E6179D" w:rsidP="00B57FAA">
      <w:pPr>
        <w:pStyle w:val="Prrafodelista"/>
        <w:numPr>
          <w:ilvl w:val="0"/>
          <w:numId w:val="1"/>
        </w:numPr>
        <w:spacing w:line="360" w:lineRule="auto"/>
        <w:ind w:left="0" w:right="49" w:firstLine="0"/>
        <w:jc w:val="both"/>
        <w:rPr>
          <w:rFonts w:ascii="Palatino Linotype" w:eastAsia="Calibri" w:hAnsi="Palatino Linotype" w:cs="Arial"/>
          <w:sz w:val="24"/>
          <w:szCs w:val="24"/>
        </w:rPr>
      </w:pPr>
      <w:r w:rsidRPr="00B57FAA">
        <w:rPr>
          <w:rFonts w:ascii="Palatino Linotype" w:eastAsia="Calibri" w:hAnsi="Palatino Linotype" w:cs="Arial"/>
          <w:sz w:val="24"/>
          <w:szCs w:val="24"/>
        </w:rPr>
        <w:t>Bajo esas consideracio</w:t>
      </w:r>
      <w:bookmarkStart w:id="2" w:name="_GoBack"/>
      <w:bookmarkEnd w:id="2"/>
      <w:r w:rsidRPr="00B57FAA">
        <w:rPr>
          <w:rFonts w:ascii="Palatino Linotype" w:eastAsia="Calibri" w:hAnsi="Palatino Linotype" w:cs="Arial"/>
          <w:sz w:val="24"/>
          <w:szCs w:val="24"/>
        </w:rPr>
        <w:t xml:space="preserve">nes la Ponencia </w:t>
      </w:r>
      <w:r w:rsidR="00FD1FAD" w:rsidRPr="00B57FAA">
        <w:rPr>
          <w:rFonts w:ascii="Palatino Linotype" w:eastAsia="Calibri" w:hAnsi="Palatino Linotype" w:cs="Arial"/>
          <w:sz w:val="24"/>
          <w:szCs w:val="24"/>
        </w:rPr>
        <w:t>que resuelve el recurso de revisión</w:t>
      </w:r>
      <w:r w:rsidRPr="00B57FAA">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B57FAA">
        <w:rPr>
          <w:rFonts w:ascii="Palatino Linotype" w:eastAsia="Calibri" w:hAnsi="Palatino Linotype" w:cs="Arial"/>
          <w:sz w:val="24"/>
          <w:szCs w:val="24"/>
        </w:rPr>
        <w:t>verificar si existe fu</w:t>
      </w:r>
      <w:r w:rsidR="003E0648" w:rsidRPr="00B57FAA">
        <w:rPr>
          <w:rFonts w:ascii="Palatino Linotype" w:eastAsia="Calibri" w:hAnsi="Palatino Linotype" w:cs="Arial"/>
          <w:sz w:val="24"/>
          <w:szCs w:val="24"/>
        </w:rPr>
        <w:t>ente obligacional por parte de</w:t>
      </w:r>
      <w:r w:rsidR="00C752C4">
        <w:rPr>
          <w:rFonts w:ascii="Palatino Linotype" w:eastAsia="Calibri" w:hAnsi="Palatino Linotype" w:cs="Arial"/>
          <w:sz w:val="24"/>
          <w:szCs w:val="24"/>
        </w:rPr>
        <w:t>l</w:t>
      </w:r>
      <w:r w:rsidR="00C752C4" w:rsidRPr="00C752C4">
        <w:rPr>
          <w:rFonts w:ascii="Palatino Linotype" w:eastAsiaTheme="minorEastAsia" w:hAnsi="Palatino Linotype" w:cs="Arial"/>
          <w:b/>
        </w:rPr>
        <w:t xml:space="preserve"> </w:t>
      </w:r>
      <w:r w:rsidR="00FD1FAD" w:rsidRPr="00B57FAA">
        <w:rPr>
          <w:rFonts w:ascii="Palatino Linotype" w:eastAsia="Calibri" w:hAnsi="Palatino Linotype" w:cs="Arial"/>
          <w:sz w:val="24"/>
          <w:szCs w:val="24"/>
        </w:rPr>
        <w:t xml:space="preserve">y así ordenar que se realice una búsqueda exhaustiva en los archivos </w:t>
      </w:r>
      <w:r w:rsidR="00B16CE1" w:rsidRPr="00B57FAA">
        <w:rPr>
          <w:rFonts w:ascii="Palatino Linotype" w:eastAsia="Calibri" w:hAnsi="Palatino Linotype" w:cs="Arial"/>
          <w:sz w:val="24"/>
          <w:szCs w:val="24"/>
        </w:rPr>
        <w:t xml:space="preserve">del </w:t>
      </w:r>
      <w:r w:rsidR="00FD1FAD" w:rsidRPr="00B57FAA">
        <w:rPr>
          <w:rFonts w:ascii="Palatino Linotype" w:eastAsia="Calibri" w:hAnsi="Palatino Linotype" w:cs="Arial"/>
          <w:b/>
          <w:sz w:val="24"/>
          <w:szCs w:val="24"/>
        </w:rPr>
        <w:t>SUJETO OBLIGADO</w:t>
      </w:r>
      <w:r w:rsidRPr="00B57FAA">
        <w:rPr>
          <w:rFonts w:ascii="Palatino Linotype" w:eastAsia="Calibri" w:hAnsi="Palatino Linotype" w:cs="Arial"/>
          <w:sz w:val="24"/>
          <w:szCs w:val="24"/>
        </w:rPr>
        <w:t>.</w:t>
      </w:r>
      <w:r w:rsidR="00B16CE1" w:rsidRPr="00B57FAA">
        <w:rPr>
          <w:rFonts w:ascii="Palatino Linotype" w:eastAsia="Calibri" w:hAnsi="Palatino Linotype" w:cs="Arial"/>
          <w:sz w:val="24"/>
          <w:szCs w:val="24"/>
        </w:rPr>
        <w:t xml:space="preserve"> </w:t>
      </w:r>
    </w:p>
    <w:p w:rsidR="00387F6B" w:rsidRDefault="00387F6B" w:rsidP="00387F6B">
      <w:pPr>
        <w:spacing w:after="0" w:line="360" w:lineRule="auto"/>
        <w:contextualSpacing/>
        <w:jc w:val="both"/>
        <w:rPr>
          <w:rFonts w:ascii="Palatino Linotype" w:hAnsi="Palatino Linotype" w:cs="Arial"/>
          <w:i/>
          <w:sz w:val="24"/>
          <w:szCs w:val="24"/>
        </w:rPr>
      </w:pPr>
    </w:p>
    <w:p w:rsidR="00480F5B" w:rsidRPr="00B87805" w:rsidRDefault="00480F5B" w:rsidP="00387F6B">
      <w:pPr>
        <w:pStyle w:val="Prrafodelista"/>
        <w:numPr>
          <w:ilvl w:val="0"/>
          <w:numId w:val="1"/>
        </w:numPr>
        <w:spacing w:after="0" w:line="360" w:lineRule="auto"/>
        <w:ind w:left="0" w:firstLine="0"/>
        <w:jc w:val="both"/>
        <w:rPr>
          <w:rFonts w:ascii="Palatino Linotype" w:hAnsi="Palatino Linotype" w:cs="Arial"/>
          <w:i/>
          <w:sz w:val="24"/>
          <w:szCs w:val="24"/>
        </w:rPr>
      </w:pPr>
      <w:r w:rsidRPr="00387F6B">
        <w:rPr>
          <w:rFonts w:ascii="Palatino Linotype" w:eastAsia="Calibri" w:hAnsi="Palatino Linotype" w:cs="Arial"/>
          <w:sz w:val="24"/>
          <w:szCs w:val="24"/>
        </w:rPr>
        <w:t xml:space="preserve">Por lo que respecta al análisis que realizó el ponente </w:t>
      </w:r>
      <w:r w:rsidRPr="00387F6B">
        <w:rPr>
          <w:rFonts w:ascii="Palatino Linotype" w:hAnsi="Palatino Linotype" w:cs="Arial"/>
          <w:sz w:val="24"/>
          <w:szCs w:val="24"/>
        </w:rPr>
        <w:t xml:space="preserve">se observó que el </w:t>
      </w:r>
      <w:r w:rsidRPr="00387F6B">
        <w:rPr>
          <w:rFonts w:ascii="Palatino Linotype" w:hAnsi="Palatino Linotype" w:cs="Arial"/>
          <w:b/>
          <w:sz w:val="24"/>
          <w:szCs w:val="24"/>
        </w:rPr>
        <w:t xml:space="preserve">SUJETO OBLIGADO </w:t>
      </w:r>
      <w:r w:rsidRPr="00387F6B">
        <w:rPr>
          <w:rFonts w:ascii="Palatino Linotype" w:hAnsi="Palatino Linotype" w:cs="Arial"/>
          <w:sz w:val="24"/>
          <w:szCs w:val="24"/>
        </w:rPr>
        <w:t>no colmó la solicitud de información por parte del solicitante, por lo que se</w:t>
      </w:r>
      <w:r w:rsidRPr="00387F6B">
        <w:rPr>
          <w:rFonts w:ascii="Palatino Linotype" w:hAnsi="Palatino Linotype" w:cs="Arial"/>
          <w:b/>
          <w:sz w:val="24"/>
          <w:szCs w:val="24"/>
        </w:rPr>
        <w:t xml:space="preserve"> ORDENA </w:t>
      </w:r>
      <w:r w:rsidR="00223548" w:rsidRPr="00387F6B">
        <w:rPr>
          <w:rFonts w:ascii="Palatino Linotype" w:hAnsi="Palatino Linotype" w:cs="Arial"/>
          <w:sz w:val="24"/>
          <w:szCs w:val="24"/>
        </w:rPr>
        <w:t>a</w:t>
      </w:r>
      <w:r w:rsidR="00C752C4" w:rsidRPr="00387F6B">
        <w:rPr>
          <w:rFonts w:ascii="Palatino Linotype" w:hAnsi="Palatino Linotype" w:cs="Arial"/>
          <w:sz w:val="24"/>
          <w:szCs w:val="24"/>
        </w:rPr>
        <w:t>l</w:t>
      </w:r>
      <w:r w:rsidR="00EF21BF" w:rsidRPr="00EF21BF">
        <w:rPr>
          <w:rFonts w:ascii="Palatino Linotype" w:hAnsi="Palatino Linotype"/>
          <w:b/>
        </w:rPr>
        <w:t xml:space="preserve"> </w:t>
      </w:r>
      <w:r w:rsidR="00EF21BF" w:rsidRPr="00810759">
        <w:rPr>
          <w:rFonts w:ascii="Palatino Linotype" w:hAnsi="Palatino Linotype"/>
          <w:b/>
        </w:rPr>
        <w:t xml:space="preserve">Ayuntamiento de </w:t>
      </w:r>
      <w:r w:rsidR="00B87805">
        <w:rPr>
          <w:rFonts w:ascii="Palatino Linotype" w:hAnsi="Palatino Linotype"/>
          <w:b/>
        </w:rPr>
        <w:t>Toluca</w:t>
      </w:r>
      <w:r w:rsidR="00223548" w:rsidRPr="00387F6B">
        <w:rPr>
          <w:rFonts w:ascii="Palatino Linotype" w:hAnsi="Palatino Linotype" w:cs="Arial"/>
          <w:b/>
          <w:sz w:val="24"/>
          <w:szCs w:val="24"/>
        </w:rPr>
        <w:t xml:space="preserve">, </w:t>
      </w:r>
      <w:r w:rsidR="00D36317" w:rsidRPr="00387F6B">
        <w:rPr>
          <w:rFonts w:ascii="Palatino Linotype" w:hAnsi="Palatino Linotype" w:cs="Arial"/>
          <w:sz w:val="24"/>
          <w:szCs w:val="24"/>
        </w:rPr>
        <w:t xml:space="preserve">  </w:t>
      </w:r>
      <w:r w:rsidRPr="00387F6B">
        <w:rPr>
          <w:rFonts w:ascii="Palatino Linotype" w:hAnsi="Palatino Linotype" w:cs="Arial"/>
          <w:sz w:val="24"/>
          <w:szCs w:val="24"/>
        </w:rPr>
        <w:t xml:space="preserve">haga entrega vía </w:t>
      </w:r>
      <w:r w:rsidRPr="00387F6B">
        <w:rPr>
          <w:rFonts w:ascii="Palatino Linotype" w:hAnsi="Palatino Linotype" w:cs="Arial"/>
          <w:b/>
          <w:sz w:val="24"/>
          <w:szCs w:val="24"/>
        </w:rPr>
        <w:t xml:space="preserve">SAIMEX </w:t>
      </w:r>
      <w:r w:rsidRPr="00387F6B">
        <w:rPr>
          <w:rFonts w:ascii="Palatino Linotype" w:hAnsi="Palatino Linotype" w:cs="Arial"/>
          <w:sz w:val="24"/>
          <w:szCs w:val="24"/>
        </w:rPr>
        <w:t>de</w:t>
      </w:r>
      <w:r w:rsidRPr="00387F6B">
        <w:rPr>
          <w:rFonts w:ascii="Palatino Linotype" w:hAnsi="Palatino Linotype" w:cs="Arial"/>
          <w:b/>
          <w:sz w:val="24"/>
          <w:szCs w:val="24"/>
        </w:rPr>
        <w:t>:</w:t>
      </w:r>
    </w:p>
    <w:p w:rsidR="00505BF3" w:rsidRDefault="00505BF3" w:rsidP="00505BF3">
      <w:pPr>
        <w:pStyle w:val="Prrafodelista"/>
        <w:rPr>
          <w:rFonts w:ascii="Palatino Linotype" w:hAnsi="Palatino Linotype" w:cs="Arial"/>
          <w:i/>
          <w:sz w:val="24"/>
          <w:szCs w:val="24"/>
        </w:rPr>
      </w:pPr>
    </w:p>
    <w:p w:rsidR="00505BF3" w:rsidRPr="00505BF3" w:rsidRDefault="00505BF3" w:rsidP="00505BF3">
      <w:pPr>
        <w:pStyle w:val="Prrafodelista"/>
        <w:rPr>
          <w:rFonts w:ascii="Palatino Linotype" w:hAnsi="Palatino Linotype" w:cs="Arial"/>
          <w:i/>
          <w:sz w:val="24"/>
          <w:szCs w:val="24"/>
        </w:rPr>
      </w:pPr>
      <w:r w:rsidRPr="00505BF3">
        <w:rPr>
          <w:rFonts w:ascii="Palatino Linotype" w:hAnsi="Palatino Linotype" w:cs="Arial"/>
          <w:i/>
          <w:sz w:val="24"/>
          <w:szCs w:val="24"/>
        </w:rPr>
        <w:t>1.</w:t>
      </w:r>
      <w:r w:rsidRPr="00505BF3">
        <w:rPr>
          <w:rFonts w:ascii="Palatino Linotype" w:hAnsi="Palatino Linotype" w:cs="Arial"/>
          <w:i/>
          <w:sz w:val="24"/>
          <w:szCs w:val="24"/>
        </w:rPr>
        <w:tab/>
        <w:t>Constancia de Alineamiento y Número Oficial.</w:t>
      </w:r>
    </w:p>
    <w:p w:rsidR="00505BF3" w:rsidRPr="00505BF3" w:rsidRDefault="00505BF3" w:rsidP="00505BF3">
      <w:pPr>
        <w:pStyle w:val="Prrafodelista"/>
        <w:rPr>
          <w:rFonts w:ascii="Palatino Linotype" w:hAnsi="Palatino Linotype" w:cs="Arial"/>
          <w:i/>
          <w:sz w:val="24"/>
          <w:szCs w:val="24"/>
        </w:rPr>
      </w:pPr>
      <w:r w:rsidRPr="00505BF3">
        <w:rPr>
          <w:rFonts w:ascii="Palatino Linotype" w:hAnsi="Palatino Linotype" w:cs="Arial"/>
          <w:i/>
          <w:sz w:val="24"/>
          <w:szCs w:val="24"/>
        </w:rPr>
        <w:t>2.</w:t>
      </w:r>
      <w:r w:rsidRPr="00505BF3">
        <w:rPr>
          <w:rFonts w:ascii="Palatino Linotype" w:hAnsi="Palatino Linotype" w:cs="Arial"/>
          <w:i/>
          <w:sz w:val="24"/>
          <w:szCs w:val="24"/>
        </w:rPr>
        <w:tab/>
        <w:t>Licencia de uso de suelo.</w:t>
      </w:r>
    </w:p>
    <w:p w:rsidR="00505BF3" w:rsidRPr="00505BF3" w:rsidRDefault="00505BF3" w:rsidP="00505BF3">
      <w:pPr>
        <w:pStyle w:val="Prrafodelista"/>
        <w:rPr>
          <w:rFonts w:ascii="Palatino Linotype" w:hAnsi="Palatino Linotype" w:cs="Arial"/>
          <w:i/>
          <w:sz w:val="24"/>
          <w:szCs w:val="24"/>
        </w:rPr>
      </w:pPr>
      <w:r w:rsidRPr="00505BF3">
        <w:rPr>
          <w:rFonts w:ascii="Palatino Linotype" w:hAnsi="Palatino Linotype" w:cs="Arial"/>
          <w:i/>
          <w:sz w:val="24"/>
          <w:szCs w:val="24"/>
        </w:rPr>
        <w:t>3.</w:t>
      </w:r>
      <w:r w:rsidRPr="00505BF3">
        <w:rPr>
          <w:rFonts w:ascii="Palatino Linotype" w:hAnsi="Palatino Linotype" w:cs="Arial"/>
          <w:i/>
          <w:sz w:val="24"/>
          <w:szCs w:val="24"/>
        </w:rPr>
        <w:tab/>
        <w:t>Licencia de funcionamiento de comercio.</w:t>
      </w:r>
    </w:p>
    <w:p w:rsidR="00505BF3" w:rsidRPr="00505BF3" w:rsidRDefault="00505BF3" w:rsidP="00505BF3">
      <w:pPr>
        <w:pStyle w:val="Prrafodelista"/>
        <w:rPr>
          <w:rFonts w:ascii="Palatino Linotype" w:hAnsi="Palatino Linotype" w:cs="Arial"/>
          <w:i/>
          <w:sz w:val="24"/>
          <w:szCs w:val="24"/>
        </w:rPr>
      </w:pPr>
      <w:r w:rsidRPr="00505BF3">
        <w:rPr>
          <w:rFonts w:ascii="Palatino Linotype" w:hAnsi="Palatino Linotype" w:cs="Arial"/>
          <w:i/>
          <w:sz w:val="24"/>
          <w:szCs w:val="24"/>
        </w:rPr>
        <w:t>Para la entrega en versión pública, deberá emitir el Acuerdo del Comité de Transparencia en términos de los artículos 49, fracción VIII y 132 fraccion II de la Ley de Transparencia y Acceso a la Información Pública del Estado de México y Municipios en el que funde y motive las razones sobre los datos que se supriman o eliminen y se ponga a disposición de la recurrente.</w:t>
      </w:r>
    </w:p>
    <w:p w:rsidR="00B87805" w:rsidRPr="00B87805" w:rsidRDefault="00505BF3" w:rsidP="00505BF3">
      <w:pPr>
        <w:pStyle w:val="Prrafodelista"/>
        <w:rPr>
          <w:rFonts w:ascii="Palatino Linotype" w:hAnsi="Palatino Linotype" w:cs="Arial"/>
          <w:i/>
          <w:sz w:val="24"/>
          <w:szCs w:val="24"/>
        </w:rPr>
      </w:pPr>
      <w:r w:rsidRPr="00505BF3">
        <w:rPr>
          <w:rFonts w:ascii="Palatino Linotype" w:hAnsi="Palatino Linotype" w:cs="Arial"/>
          <w:i/>
          <w:sz w:val="24"/>
          <w:szCs w:val="24"/>
        </w:rPr>
        <w:lastRenderedPageBreak/>
        <w:t>En el supuesto de que no se localicen los documentos ordenados en los numerales 2 y 3, bastara con el sólo pronunciamiento del Sujeto Obligado para tener por colmado el requerimiento de información, mismo que deberá hacer del conocimiento de la Recurrente.</w:t>
      </w:r>
    </w:p>
    <w:p w:rsidR="00B87805" w:rsidRPr="00387F6B" w:rsidRDefault="00B87805" w:rsidP="00B87805">
      <w:pPr>
        <w:pStyle w:val="Prrafodelista"/>
        <w:spacing w:after="0" w:line="360" w:lineRule="auto"/>
        <w:ind w:left="0"/>
        <w:jc w:val="both"/>
        <w:rPr>
          <w:rFonts w:ascii="Palatino Linotype" w:hAnsi="Palatino Linotype" w:cs="Arial"/>
          <w:i/>
          <w:sz w:val="24"/>
          <w:szCs w:val="24"/>
        </w:rPr>
      </w:pPr>
    </w:p>
    <w:p w:rsidR="0032240B" w:rsidRPr="00505BF3" w:rsidRDefault="00594E5C" w:rsidP="0032240B">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Sin embargo esta ponencia observó que la resolución puntualmente indica lo siguiente</w:t>
      </w:r>
      <w:r w:rsidR="00434E1A" w:rsidRPr="00434E1A">
        <w:rPr>
          <w:rFonts w:ascii="Palatino Linotype" w:eastAsia="Times New Roman" w:hAnsi="Palatino Linotype" w:cs="Arial"/>
          <w:sz w:val="24"/>
        </w:rPr>
        <w:t xml:space="preserve"> </w:t>
      </w:r>
      <w:r w:rsidR="00434E1A">
        <w:rPr>
          <w:rFonts w:ascii="Palatino Linotype" w:eastAsia="Times New Roman" w:hAnsi="Palatino Linotype" w:cs="Arial"/>
          <w:sz w:val="24"/>
        </w:rPr>
        <w:t xml:space="preserve">respecto </w:t>
      </w:r>
      <w:r w:rsidR="00EF21BF">
        <w:rPr>
          <w:rFonts w:ascii="Palatino Linotype" w:eastAsia="Times New Roman" w:hAnsi="Palatino Linotype" w:cs="Arial"/>
          <w:sz w:val="24"/>
        </w:rPr>
        <w:t>a lo</w:t>
      </w:r>
      <w:r w:rsidR="00295861">
        <w:rPr>
          <w:rFonts w:ascii="Palatino Linotype" w:eastAsia="Times New Roman" w:hAnsi="Palatino Linotype" w:cs="Arial"/>
          <w:sz w:val="24"/>
        </w:rPr>
        <w:t xml:space="preserve">s </w:t>
      </w:r>
      <w:r w:rsidR="00EF21BF">
        <w:rPr>
          <w:rFonts w:ascii="Palatino Linotype" w:eastAsia="Times New Roman" w:hAnsi="Palatino Linotype" w:cs="Arial"/>
          <w:sz w:val="24"/>
        </w:rPr>
        <w:t xml:space="preserve"> </w:t>
      </w:r>
      <w:r w:rsidR="00505BF3">
        <w:rPr>
          <w:rFonts w:ascii="Palatino Linotype" w:eastAsia="Times New Roman" w:hAnsi="Palatino Linotype" w:cs="Arial"/>
          <w:sz w:val="24"/>
        </w:rPr>
        <w:t>numerales 2 y 3</w:t>
      </w:r>
      <w:r w:rsidR="003D41BA">
        <w:rPr>
          <w:rFonts w:ascii="Palatino Linotype" w:eastAsia="Times New Roman" w:hAnsi="Palatino Linotype" w:cs="Arial"/>
          <w:sz w:val="24"/>
        </w:rPr>
        <w:t>)</w:t>
      </w:r>
      <w:r w:rsidR="0041189B">
        <w:rPr>
          <w:rFonts w:ascii="Palatino Linotype" w:eastAsia="Times New Roman" w:hAnsi="Palatino Linotype" w:cs="Arial"/>
          <w:sz w:val="24"/>
        </w:rPr>
        <w:t>:</w:t>
      </w:r>
    </w:p>
    <w:p w:rsidR="00505BF3" w:rsidRPr="00505BF3" w:rsidRDefault="00505BF3" w:rsidP="00505BF3">
      <w:pPr>
        <w:pStyle w:val="Prrafodelista"/>
        <w:spacing w:before="240" w:after="240" w:line="360" w:lineRule="auto"/>
        <w:ind w:left="0" w:right="49"/>
        <w:jc w:val="both"/>
        <w:rPr>
          <w:rFonts w:ascii="Palatino Linotype" w:eastAsia="Times New Roman" w:hAnsi="Palatino Linotype" w:cs="Arial"/>
          <w:i/>
          <w:sz w:val="24"/>
        </w:rPr>
      </w:pPr>
    </w:p>
    <w:p w:rsidR="00505BF3" w:rsidRDefault="00505BF3" w:rsidP="00505BF3">
      <w:pPr>
        <w:pStyle w:val="Prrafodelista"/>
        <w:spacing w:before="240" w:after="240" w:line="360" w:lineRule="auto"/>
        <w:ind w:left="0" w:right="49"/>
        <w:jc w:val="both"/>
        <w:rPr>
          <w:rFonts w:ascii="Palatino Linotype" w:eastAsia="Times New Roman" w:hAnsi="Palatino Linotype" w:cs="Arial"/>
          <w:i/>
          <w:sz w:val="24"/>
        </w:rPr>
      </w:pPr>
      <w:r w:rsidRPr="00505BF3">
        <w:rPr>
          <w:rFonts w:ascii="Palatino Linotype" w:eastAsia="Times New Roman" w:hAnsi="Palatino Linotype" w:cs="Arial"/>
          <w:i/>
          <w:sz w:val="24"/>
        </w:rPr>
        <w:t>En el supuesto de que no se localicen los documentos ordenados en los numerales 2 y 3, bastara con el sólo pronunciamiento del Sujeto Obligado para tener por colmado el requerimiento de información, mismo que deberá hacer del conocimiento de la Recurrente.</w:t>
      </w:r>
    </w:p>
    <w:p w:rsidR="00E15203" w:rsidRPr="00434E1A" w:rsidRDefault="00E15203" w:rsidP="002E691F">
      <w:pPr>
        <w:pStyle w:val="Prrafodelista"/>
        <w:spacing w:before="240" w:after="240" w:line="360" w:lineRule="auto"/>
        <w:ind w:right="49"/>
        <w:jc w:val="both"/>
        <w:rPr>
          <w:rFonts w:ascii="Palatino Linotype" w:eastAsia="Times New Roman" w:hAnsi="Palatino Linotype" w:cs="Arial"/>
          <w:i/>
          <w:sz w:val="24"/>
        </w:rPr>
      </w:pPr>
    </w:p>
    <w:p w:rsidR="00C602B8" w:rsidRPr="00C602B8" w:rsidRDefault="00594E5C" w:rsidP="00862F04">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522539939"/>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lastRenderedPageBreak/>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 xml:space="preserve">Otorga a todos los documentos en posesión de las autoridades la calidad de públicos y únicamente pueden ser reservados temporalmente </w:t>
      </w:r>
      <w:r w:rsidRPr="00427B79">
        <w:rPr>
          <w:rFonts w:ascii="Palatino Linotype" w:hAnsi="Palatino Linotype" w:cs="Arial"/>
          <w:bCs/>
          <w:color w:val="000000" w:themeColor="text1"/>
          <w:sz w:val="24"/>
          <w:szCs w:val="24"/>
        </w:rPr>
        <w:lastRenderedPageBreak/>
        <w:t>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sz w:val="24"/>
          <w:szCs w:val="24"/>
        </w:rPr>
        <w:lastRenderedPageBreak/>
        <w:t>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w:t>
      </w:r>
      <w:r w:rsidRPr="00427B79">
        <w:rPr>
          <w:rFonts w:ascii="Palatino Linotype" w:hAnsi="Palatino Linotype"/>
          <w:sz w:val="24"/>
          <w:szCs w:val="24"/>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lastRenderedPageBreak/>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862F04">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862F04">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lastRenderedPageBreak/>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522539940"/>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862F04">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862F0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83488C" w:rsidRPr="0083488C" w:rsidRDefault="0083488C" w:rsidP="00862F04">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E6179D" w:rsidRPr="0083488C" w:rsidRDefault="00E6179D" w:rsidP="0083488C">
      <w:pPr>
        <w:spacing w:after="0" w:line="360" w:lineRule="auto"/>
        <w:jc w:val="both"/>
        <w:rPr>
          <w:rFonts w:ascii="Palatino Linotype" w:eastAsia="Calibri" w:hAnsi="Palatino Linotype" w:cs="Arial"/>
          <w:sz w:val="24"/>
          <w:szCs w:val="24"/>
        </w:rPr>
      </w:pPr>
    </w:p>
    <w:p w:rsidR="00E6179D" w:rsidRPr="0083488C" w:rsidRDefault="00E6179D" w:rsidP="00A22908">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w:t>
      </w:r>
      <w:r w:rsidRPr="0083488C">
        <w:rPr>
          <w:rFonts w:ascii="Palatino Linotype" w:hAnsi="Palatino Linotype" w:cs="Times New Roman"/>
          <w:i/>
        </w:rPr>
        <w:lastRenderedPageBreak/>
        <w:t>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subincisos, fracciones y preceptos aplicables, y b).- Los cuerpos legales, y preceptos que otorgan competencia o facultades a las autoridades para emitir el acto en agravio del gobernado.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73B30" w:rsidRDefault="00E6179D" w:rsidP="00862F04">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E6179D" w:rsidRPr="0083488C" w:rsidRDefault="00CD53CB" w:rsidP="00CD53CB">
      <w:pPr>
        <w:pStyle w:val="Ttulo1"/>
        <w:rPr>
          <w:rFonts w:eastAsia="Calibri"/>
          <w:szCs w:val="24"/>
        </w:rPr>
      </w:pPr>
      <w:bookmarkStart w:id="6" w:name="_Toc522539941"/>
      <w:r>
        <w:rPr>
          <w:rFonts w:eastAsia="Calibri"/>
          <w:color w:val="auto"/>
          <w:szCs w:val="24"/>
        </w:rPr>
        <w:lastRenderedPageBreak/>
        <w:t xml:space="preserve">V. </w:t>
      </w:r>
      <w:r w:rsidR="00E6179D" w:rsidRPr="0083488C">
        <w:rPr>
          <w:rFonts w:eastAsia="Calibri"/>
          <w:color w:val="auto"/>
          <w:szCs w:val="24"/>
        </w:rPr>
        <w:t>Conclusión.</w:t>
      </w:r>
      <w:bookmarkEnd w:id="6"/>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862F04">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Pr="00427B79" w:rsidRDefault="00BB48A7" w:rsidP="00E6179D">
      <w:pPr>
        <w:rPr>
          <w:rFonts w:ascii="Palatino Linotype" w:hAnsi="Palatino Linotype" w:cs="Arial"/>
          <w:color w:val="000000" w:themeColor="text1"/>
          <w:sz w:val="24"/>
          <w:szCs w:val="24"/>
        </w:rPr>
      </w:pPr>
    </w:p>
    <w:p w:rsidR="00BB48A7" w:rsidRPr="00427B79" w:rsidRDefault="00BB48A7"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Pr="00427B7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A22908" w:rsidRPr="009A33F0" w:rsidRDefault="009A33F0" w:rsidP="009A33F0">
      <w:pPr>
        <w:jc w:val="center"/>
        <w:rPr>
          <w:rFonts w:ascii="Palatino Linotype" w:hAnsi="Palatino Linotype"/>
          <w:b/>
          <w:color w:val="000000" w:themeColor="text1"/>
          <w:sz w:val="24"/>
          <w:szCs w:val="24"/>
        </w:rPr>
      </w:pPr>
      <w:r w:rsidRPr="009A33F0">
        <w:rPr>
          <w:rFonts w:ascii="Palatino Linotype" w:hAnsi="Palatino Linotype"/>
          <w:b/>
          <w:color w:val="000000" w:themeColor="text1"/>
          <w:sz w:val="24"/>
          <w:szCs w:val="24"/>
        </w:rPr>
        <w:t>(Rúbrica)</w:t>
      </w:r>
    </w:p>
    <w:p w:rsidR="00A22908" w:rsidRDefault="00A22908" w:rsidP="00E6179D">
      <w:pPr>
        <w:rPr>
          <w:rFonts w:ascii="Palatino Linotype" w:hAnsi="Palatino Linotype"/>
          <w:color w:val="000000" w:themeColor="text1"/>
          <w:sz w:val="24"/>
          <w:szCs w:val="24"/>
        </w:rPr>
      </w:pPr>
    </w:p>
    <w:p w:rsidR="00A22908" w:rsidRDefault="00A22908" w:rsidP="00E6179D">
      <w:pPr>
        <w:rPr>
          <w:rFonts w:ascii="Palatino Linotype" w:hAnsi="Palatino Linotype"/>
          <w:color w:val="000000" w:themeColor="text1"/>
          <w:sz w:val="24"/>
          <w:szCs w:val="24"/>
        </w:rPr>
      </w:pPr>
    </w:p>
    <w:p w:rsidR="00C602B8" w:rsidRDefault="00C602B8"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p w:rsidR="00797A31" w:rsidRPr="00427B79" w:rsidRDefault="00797A31" w:rsidP="00E6179D">
      <w:pPr>
        <w:rPr>
          <w:sz w:val="24"/>
          <w:szCs w:val="24"/>
        </w:rPr>
      </w:pPr>
    </w:p>
    <w:sectPr w:rsidR="00797A31"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2B75" w:rsidRDefault="004A2B75" w:rsidP="00E82D3D">
      <w:pPr>
        <w:spacing w:after="0" w:line="240" w:lineRule="auto"/>
      </w:pPr>
      <w:r>
        <w:separator/>
      </w:r>
    </w:p>
  </w:endnote>
  <w:endnote w:type="continuationSeparator" w:id="0">
    <w:p w:rsidR="004A2B75" w:rsidRDefault="004A2B75"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0532">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0532">
              <w:rPr>
                <w:b/>
                <w:bCs/>
                <w:noProof/>
              </w:rPr>
              <w:t>17</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2B75" w:rsidRDefault="004A2B75" w:rsidP="00E82D3D">
      <w:pPr>
        <w:spacing w:after="0" w:line="240" w:lineRule="auto"/>
      </w:pPr>
      <w:r>
        <w:separator/>
      </w:r>
    </w:p>
  </w:footnote>
  <w:footnote w:type="continuationSeparator" w:id="0">
    <w:p w:rsidR="004A2B75" w:rsidRDefault="004A2B75" w:rsidP="00E82D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A2B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A2B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4A2B75">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9"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3"/>
  </w:num>
  <w:num w:numId="4">
    <w:abstractNumId w:val="14"/>
  </w:num>
  <w:num w:numId="5">
    <w:abstractNumId w:val="0"/>
  </w:num>
  <w:num w:numId="6">
    <w:abstractNumId w:val="1"/>
  </w:num>
  <w:num w:numId="7">
    <w:abstractNumId w:val="7"/>
  </w:num>
  <w:num w:numId="8">
    <w:abstractNumId w:val="9"/>
  </w:num>
  <w:num w:numId="9">
    <w:abstractNumId w:val="13"/>
  </w:num>
  <w:num w:numId="10">
    <w:abstractNumId w:val="8"/>
  </w:num>
  <w:num w:numId="11">
    <w:abstractNumId w:val="10"/>
  </w:num>
  <w:num w:numId="12">
    <w:abstractNumId w:val="5"/>
  </w:num>
  <w:num w:numId="13">
    <w:abstractNumId w:val="16"/>
  </w:num>
  <w:num w:numId="14">
    <w:abstractNumId w:val="15"/>
  </w:num>
  <w:num w:numId="15">
    <w:abstractNumId w:val="2"/>
  </w:num>
  <w:num w:numId="16">
    <w:abstractNumId w:val="6"/>
  </w:num>
  <w:num w:numId="1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33837"/>
    <w:rsid w:val="000354F0"/>
    <w:rsid w:val="0003648B"/>
    <w:rsid w:val="00047D47"/>
    <w:rsid w:val="00050071"/>
    <w:rsid w:val="00051010"/>
    <w:rsid w:val="00064C7C"/>
    <w:rsid w:val="00080138"/>
    <w:rsid w:val="00083196"/>
    <w:rsid w:val="0009506C"/>
    <w:rsid w:val="000957D0"/>
    <w:rsid w:val="00096CC2"/>
    <w:rsid w:val="000A17C5"/>
    <w:rsid w:val="000B09D7"/>
    <w:rsid w:val="000C57DB"/>
    <w:rsid w:val="000D78CD"/>
    <w:rsid w:val="000E1ACA"/>
    <w:rsid w:val="000F6EC0"/>
    <w:rsid w:val="00102360"/>
    <w:rsid w:val="00113C80"/>
    <w:rsid w:val="00113E8A"/>
    <w:rsid w:val="001240A5"/>
    <w:rsid w:val="00147D04"/>
    <w:rsid w:val="0016014E"/>
    <w:rsid w:val="001604B4"/>
    <w:rsid w:val="001708DF"/>
    <w:rsid w:val="001725DC"/>
    <w:rsid w:val="0018245A"/>
    <w:rsid w:val="001833A7"/>
    <w:rsid w:val="0018421D"/>
    <w:rsid w:val="001849AC"/>
    <w:rsid w:val="001A7D89"/>
    <w:rsid w:val="001B19B4"/>
    <w:rsid w:val="001C23BB"/>
    <w:rsid w:val="001C3DD0"/>
    <w:rsid w:val="001C6366"/>
    <w:rsid w:val="001D71D8"/>
    <w:rsid w:val="001E5635"/>
    <w:rsid w:val="001F0E58"/>
    <w:rsid w:val="001F1428"/>
    <w:rsid w:val="0022191E"/>
    <w:rsid w:val="00223548"/>
    <w:rsid w:val="00224B9E"/>
    <w:rsid w:val="00230205"/>
    <w:rsid w:val="00241D8A"/>
    <w:rsid w:val="00252BB6"/>
    <w:rsid w:val="002643E6"/>
    <w:rsid w:val="00270126"/>
    <w:rsid w:val="00273862"/>
    <w:rsid w:val="00295861"/>
    <w:rsid w:val="002A2E8D"/>
    <w:rsid w:val="002A3111"/>
    <w:rsid w:val="002B1FE5"/>
    <w:rsid w:val="002B30C5"/>
    <w:rsid w:val="002C0B0D"/>
    <w:rsid w:val="002C4ACE"/>
    <w:rsid w:val="002D4033"/>
    <w:rsid w:val="002E3ED2"/>
    <w:rsid w:val="002E691F"/>
    <w:rsid w:val="002F79FF"/>
    <w:rsid w:val="00302CEB"/>
    <w:rsid w:val="00305CE0"/>
    <w:rsid w:val="00315772"/>
    <w:rsid w:val="0032084C"/>
    <w:rsid w:val="0032240B"/>
    <w:rsid w:val="003258B6"/>
    <w:rsid w:val="0032670C"/>
    <w:rsid w:val="00360A7B"/>
    <w:rsid w:val="003617E4"/>
    <w:rsid w:val="003676A8"/>
    <w:rsid w:val="00376B99"/>
    <w:rsid w:val="00384DBA"/>
    <w:rsid w:val="003855C9"/>
    <w:rsid w:val="003875DC"/>
    <w:rsid w:val="00387F6B"/>
    <w:rsid w:val="003965B8"/>
    <w:rsid w:val="003A0E53"/>
    <w:rsid w:val="003A31EF"/>
    <w:rsid w:val="003A4962"/>
    <w:rsid w:val="003C37C6"/>
    <w:rsid w:val="003C7F8A"/>
    <w:rsid w:val="003D41BA"/>
    <w:rsid w:val="003E0648"/>
    <w:rsid w:val="003F1617"/>
    <w:rsid w:val="00401477"/>
    <w:rsid w:val="00410B42"/>
    <w:rsid w:val="0041189B"/>
    <w:rsid w:val="00421B1A"/>
    <w:rsid w:val="00427B43"/>
    <w:rsid w:val="00427B79"/>
    <w:rsid w:val="004340E4"/>
    <w:rsid w:val="00434E1A"/>
    <w:rsid w:val="00437D14"/>
    <w:rsid w:val="00454A8A"/>
    <w:rsid w:val="0045613E"/>
    <w:rsid w:val="0046231E"/>
    <w:rsid w:val="004633B7"/>
    <w:rsid w:val="00470840"/>
    <w:rsid w:val="004733AF"/>
    <w:rsid w:val="0047567F"/>
    <w:rsid w:val="00480F5B"/>
    <w:rsid w:val="0048628E"/>
    <w:rsid w:val="00494B01"/>
    <w:rsid w:val="004A2B75"/>
    <w:rsid w:val="004A5F86"/>
    <w:rsid w:val="004F3ABB"/>
    <w:rsid w:val="004F4DA5"/>
    <w:rsid w:val="00505BF3"/>
    <w:rsid w:val="00522308"/>
    <w:rsid w:val="0052306C"/>
    <w:rsid w:val="005556CA"/>
    <w:rsid w:val="005650D9"/>
    <w:rsid w:val="00567957"/>
    <w:rsid w:val="005905A5"/>
    <w:rsid w:val="00590C2D"/>
    <w:rsid w:val="00594E5C"/>
    <w:rsid w:val="005A2F43"/>
    <w:rsid w:val="005C0258"/>
    <w:rsid w:val="005D0118"/>
    <w:rsid w:val="005F30BC"/>
    <w:rsid w:val="005F3E96"/>
    <w:rsid w:val="00611694"/>
    <w:rsid w:val="0061188C"/>
    <w:rsid w:val="00617ACF"/>
    <w:rsid w:val="006319DC"/>
    <w:rsid w:val="00645585"/>
    <w:rsid w:val="006562FF"/>
    <w:rsid w:val="00676187"/>
    <w:rsid w:val="00680533"/>
    <w:rsid w:val="006864CA"/>
    <w:rsid w:val="006908FD"/>
    <w:rsid w:val="006A0BDD"/>
    <w:rsid w:val="006B39ED"/>
    <w:rsid w:val="006C653A"/>
    <w:rsid w:val="006E22C9"/>
    <w:rsid w:val="006E7704"/>
    <w:rsid w:val="006F0A01"/>
    <w:rsid w:val="00715A51"/>
    <w:rsid w:val="00723CDA"/>
    <w:rsid w:val="00730193"/>
    <w:rsid w:val="00740A46"/>
    <w:rsid w:val="00740DA3"/>
    <w:rsid w:val="00744BA1"/>
    <w:rsid w:val="00772B4B"/>
    <w:rsid w:val="00773AAF"/>
    <w:rsid w:val="00786073"/>
    <w:rsid w:val="00797A31"/>
    <w:rsid w:val="007A1EB0"/>
    <w:rsid w:val="007A4C87"/>
    <w:rsid w:val="007B2DD9"/>
    <w:rsid w:val="007C5027"/>
    <w:rsid w:val="007D037D"/>
    <w:rsid w:val="007D03AB"/>
    <w:rsid w:val="007D1783"/>
    <w:rsid w:val="007D7732"/>
    <w:rsid w:val="007E48FF"/>
    <w:rsid w:val="00804A5D"/>
    <w:rsid w:val="00806194"/>
    <w:rsid w:val="008076C1"/>
    <w:rsid w:val="00807E40"/>
    <w:rsid w:val="008111CB"/>
    <w:rsid w:val="008126FB"/>
    <w:rsid w:val="008216B4"/>
    <w:rsid w:val="008232B6"/>
    <w:rsid w:val="00831B0F"/>
    <w:rsid w:val="0083488C"/>
    <w:rsid w:val="00835C8D"/>
    <w:rsid w:val="00843E5B"/>
    <w:rsid w:val="00862F04"/>
    <w:rsid w:val="008747CB"/>
    <w:rsid w:val="00876065"/>
    <w:rsid w:val="00884EFF"/>
    <w:rsid w:val="00894E97"/>
    <w:rsid w:val="008B030F"/>
    <w:rsid w:val="008D4328"/>
    <w:rsid w:val="008E733E"/>
    <w:rsid w:val="008F0CB4"/>
    <w:rsid w:val="008F212A"/>
    <w:rsid w:val="008F2800"/>
    <w:rsid w:val="0090262D"/>
    <w:rsid w:val="00906020"/>
    <w:rsid w:val="009143F1"/>
    <w:rsid w:val="00922197"/>
    <w:rsid w:val="0093474A"/>
    <w:rsid w:val="00945937"/>
    <w:rsid w:val="00950BDB"/>
    <w:rsid w:val="0098297D"/>
    <w:rsid w:val="00983DEC"/>
    <w:rsid w:val="00984681"/>
    <w:rsid w:val="00987C08"/>
    <w:rsid w:val="00994A15"/>
    <w:rsid w:val="00995C55"/>
    <w:rsid w:val="009A081B"/>
    <w:rsid w:val="009A0D68"/>
    <w:rsid w:val="009A2638"/>
    <w:rsid w:val="009A2D39"/>
    <w:rsid w:val="009A33F0"/>
    <w:rsid w:val="009B3A5C"/>
    <w:rsid w:val="009C1A2E"/>
    <w:rsid w:val="009C7267"/>
    <w:rsid w:val="009C72FE"/>
    <w:rsid w:val="009D3902"/>
    <w:rsid w:val="009E0532"/>
    <w:rsid w:val="009E0EE0"/>
    <w:rsid w:val="009F4960"/>
    <w:rsid w:val="009F6B96"/>
    <w:rsid w:val="009F7B67"/>
    <w:rsid w:val="00A00168"/>
    <w:rsid w:val="00A1541E"/>
    <w:rsid w:val="00A22908"/>
    <w:rsid w:val="00A23B00"/>
    <w:rsid w:val="00A245A7"/>
    <w:rsid w:val="00A276D9"/>
    <w:rsid w:val="00A37A86"/>
    <w:rsid w:val="00A42F36"/>
    <w:rsid w:val="00A5179E"/>
    <w:rsid w:val="00A61107"/>
    <w:rsid w:val="00A649E1"/>
    <w:rsid w:val="00A672A5"/>
    <w:rsid w:val="00A717F7"/>
    <w:rsid w:val="00A749B1"/>
    <w:rsid w:val="00A82E8C"/>
    <w:rsid w:val="00A84374"/>
    <w:rsid w:val="00A9471D"/>
    <w:rsid w:val="00AA0FB7"/>
    <w:rsid w:val="00AC4FE5"/>
    <w:rsid w:val="00AD4195"/>
    <w:rsid w:val="00AE0090"/>
    <w:rsid w:val="00AE3DF4"/>
    <w:rsid w:val="00AF1B72"/>
    <w:rsid w:val="00B16CE1"/>
    <w:rsid w:val="00B2190C"/>
    <w:rsid w:val="00B32C98"/>
    <w:rsid w:val="00B3675E"/>
    <w:rsid w:val="00B41044"/>
    <w:rsid w:val="00B516DB"/>
    <w:rsid w:val="00B57FAA"/>
    <w:rsid w:val="00B73B30"/>
    <w:rsid w:val="00B83FC5"/>
    <w:rsid w:val="00B847EF"/>
    <w:rsid w:val="00B87805"/>
    <w:rsid w:val="00B91C16"/>
    <w:rsid w:val="00B9285A"/>
    <w:rsid w:val="00B97DB6"/>
    <w:rsid w:val="00BB27D3"/>
    <w:rsid w:val="00BB4414"/>
    <w:rsid w:val="00BB488C"/>
    <w:rsid w:val="00BB48A7"/>
    <w:rsid w:val="00BC31E0"/>
    <w:rsid w:val="00BD16B5"/>
    <w:rsid w:val="00C076A9"/>
    <w:rsid w:val="00C1158A"/>
    <w:rsid w:val="00C130B3"/>
    <w:rsid w:val="00C43E73"/>
    <w:rsid w:val="00C4764C"/>
    <w:rsid w:val="00C544E1"/>
    <w:rsid w:val="00C547F0"/>
    <w:rsid w:val="00C602B8"/>
    <w:rsid w:val="00C6233A"/>
    <w:rsid w:val="00C752C4"/>
    <w:rsid w:val="00C753D8"/>
    <w:rsid w:val="00C9078E"/>
    <w:rsid w:val="00CA2B8E"/>
    <w:rsid w:val="00CB2472"/>
    <w:rsid w:val="00CB26E2"/>
    <w:rsid w:val="00CB2E4E"/>
    <w:rsid w:val="00CC3ACF"/>
    <w:rsid w:val="00CC7CC1"/>
    <w:rsid w:val="00CD53CB"/>
    <w:rsid w:val="00CD6AB1"/>
    <w:rsid w:val="00CD6EAF"/>
    <w:rsid w:val="00CF0462"/>
    <w:rsid w:val="00CF1560"/>
    <w:rsid w:val="00CF242A"/>
    <w:rsid w:val="00CF3D2E"/>
    <w:rsid w:val="00D0055C"/>
    <w:rsid w:val="00D05844"/>
    <w:rsid w:val="00D061BB"/>
    <w:rsid w:val="00D152FB"/>
    <w:rsid w:val="00D207EA"/>
    <w:rsid w:val="00D2727B"/>
    <w:rsid w:val="00D35B4C"/>
    <w:rsid w:val="00D36317"/>
    <w:rsid w:val="00D40E34"/>
    <w:rsid w:val="00D51491"/>
    <w:rsid w:val="00D549C7"/>
    <w:rsid w:val="00D92BA5"/>
    <w:rsid w:val="00DB39B5"/>
    <w:rsid w:val="00DB53B7"/>
    <w:rsid w:val="00DC4358"/>
    <w:rsid w:val="00DC792E"/>
    <w:rsid w:val="00DD14BB"/>
    <w:rsid w:val="00DE1305"/>
    <w:rsid w:val="00DE7A32"/>
    <w:rsid w:val="00DF782C"/>
    <w:rsid w:val="00E15203"/>
    <w:rsid w:val="00E27A90"/>
    <w:rsid w:val="00E41E1B"/>
    <w:rsid w:val="00E51DF4"/>
    <w:rsid w:val="00E535E4"/>
    <w:rsid w:val="00E61519"/>
    <w:rsid w:val="00E6179D"/>
    <w:rsid w:val="00E82D3D"/>
    <w:rsid w:val="00E93266"/>
    <w:rsid w:val="00EA110C"/>
    <w:rsid w:val="00EA7D41"/>
    <w:rsid w:val="00EB7AAD"/>
    <w:rsid w:val="00EC6B7E"/>
    <w:rsid w:val="00EF21BF"/>
    <w:rsid w:val="00EF3EA6"/>
    <w:rsid w:val="00EF6FDF"/>
    <w:rsid w:val="00F01271"/>
    <w:rsid w:val="00F1169F"/>
    <w:rsid w:val="00F1403B"/>
    <w:rsid w:val="00F26CE5"/>
    <w:rsid w:val="00F30EE8"/>
    <w:rsid w:val="00F41722"/>
    <w:rsid w:val="00F41FAB"/>
    <w:rsid w:val="00F665AF"/>
    <w:rsid w:val="00F72355"/>
    <w:rsid w:val="00FA6405"/>
    <w:rsid w:val="00FA79CE"/>
    <w:rsid w:val="00FB274F"/>
    <w:rsid w:val="00FC605B"/>
    <w:rsid w:val="00FD1FAD"/>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4E5C"/>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B847EF"/>
    <w:pPr>
      <w:tabs>
        <w:tab w:val="left" w:pos="660"/>
        <w:tab w:val="right" w:leader="dot" w:pos="8828"/>
      </w:tabs>
      <w:spacing w:after="100"/>
      <w:ind w:left="284"/>
    </w:p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86486-D789-4081-AB5E-97FDD1EAD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3438</Words>
  <Characters>18912</Characters>
  <Application>Microsoft Office Word</Application>
  <DocSecurity>0</DocSecurity>
  <Lines>157</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2017-08-31T19:04:00Z</cp:lastPrinted>
  <dcterms:created xsi:type="dcterms:W3CDTF">2018-11-06T21:07:00Z</dcterms:created>
  <dcterms:modified xsi:type="dcterms:W3CDTF">2018-11-06T21:07:00Z</dcterms:modified>
</cp:coreProperties>
</file>